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84E1E">
        <w:rPr>
          <w:rFonts w:ascii="Times New Roman" w:eastAsia="Times New Roman" w:hAnsi="Times New Roman"/>
          <w:b/>
          <w:bCs/>
          <w:sz w:val="24"/>
          <w:szCs w:val="24"/>
          <w:lang w:eastAsia="ru-RU"/>
        </w:rPr>
        <w:t>14</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E244CE">
        <w:rPr>
          <w:rFonts w:ascii="Times New Roman" w:eastAsia="Times New Roman" w:hAnsi="Times New Roman"/>
          <w:sz w:val="24"/>
          <w:szCs w:val="24"/>
          <w:lang w:eastAsia="ru-RU"/>
        </w:rPr>
        <w:t>27</w:t>
      </w:r>
      <w:r w:rsidR="00A31C97">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244CE">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E244CE">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45BAD" w:rsidRDefault="00E244CE" w:rsidP="00383B9B">
      <w:pPr>
        <w:pStyle w:val="a3"/>
        <w:numPr>
          <w:ilvl w:val="0"/>
          <w:numId w:val="8"/>
        </w:numPr>
        <w:spacing w:before="120" w:after="120" w:line="240" w:lineRule="auto"/>
        <w:ind w:left="1134"/>
        <w:rPr>
          <w:rFonts w:ascii="Times New Roman" w:eastAsia="Times New Roman" w:hAnsi="Times New Roman"/>
          <w:sz w:val="24"/>
          <w:szCs w:val="24"/>
          <w:lang w:eastAsia="ru-RU"/>
        </w:rPr>
      </w:pPr>
      <w:r w:rsidRPr="00583E0D">
        <w:rPr>
          <w:rFonts w:ascii="Times New Roman" w:eastAsia="Times New Roman" w:hAnsi="Times New Roman"/>
          <w:sz w:val="24"/>
          <w:szCs w:val="24"/>
          <w:lang w:eastAsia="ru-RU"/>
        </w:rPr>
        <w:t>Потапова Ольга Александровна</w:t>
      </w:r>
      <w:r w:rsidR="00986E74">
        <w:rPr>
          <w:rFonts w:ascii="Times New Roman" w:eastAsia="Times New Roman" w:hAnsi="Times New Roman"/>
          <w:sz w:val="24"/>
          <w:szCs w:val="24"/>
          <w:lang w:eastAsia="ru-RU"/>
        </w:rPr>
        <w:t>.</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244CE">
        <w:rPr>
          <w:rFonts w:ascii="Times New Roman" w:eastAsia="Times New Roman" w:hAnsi="Times New Roman"/>
          <w:sz w:val="24"/>
          <w:szCs w:val="24"/>
          <w:lang w:eastAsia="ru-RU"/>
        </w:rPr>
        <w:t>15</w:t>
      </w:r>
      <w:r w:rsidR="001707F6"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45</w:t>
      </w:r>
      <w:r w:rsidR="001707F6" w:rsidRPr="00A65FD7">
        <w:rPr>
          <w:rFonts w:ascii="Times New Roman" w:eastAsia="Times New Roman" w:hAnsi="Times New Roman"/>
          <w:sz w:val="24"/>
          <w:szCs w:val="24"/>
          <w:lang w:eastAsia="ru-RU"/>
        </w:rPr>
        <w:t xml:space="preserve"> минут </w:t>
      </w:r>
      <w:r w:rsidR="00E244CE">
        <w:rPr>
          <w:rFonts w:ascii="Times New Roman" w:eastAsia="Times New Roman" w:hAnsi="Times New Roman"/>
          <w:sz w:val="24"/>
          <w:szCs w:val="24"/>
          <w:lang w:eastAsia="ru-RU"/>
        </w:rPr>
        <w:t>27</w:t>
      </w:r>
      <w:r w:rsidR="001707F6">
        <w:rPr>
          <w:rFonts w:ascii="Times New Roman" w:eastAsia="Times New Roman" w:hAnsi="Times New Roman"/>
          <w:sz w:val="24"/>
          <w:szCs w:val="24"/>
          <w:lang w:eastAsia="ru-RU"/>
        </w:rPr>
        <w:t xml:space="preserve"> марта 2019 г</w:t>
      </w:r>
      <w:r w:rsidR="00EB1644">
        <w:rPr>
          <w:rFonts w:ascii="Times New Roman" w:eastAsia="Times New Roman" w:hAnsi="Times New Roman"/>
          <w:sz w:val="24"/>
          <w:szCs w:val="24"/>
          <w:lang w:eastAsia="ru-RU"/>
        </w:rPr>
        <w:t>.</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244CE">
        <w:rPr>
          <w:rFonts w:ascii="Times New Roman" w:eastAsia="Times New Roman" w:hAnsi="Times New Roman"/>
          <w:sz w:val="24"/>
          <w:szCs w:val="24"/>
          <w:lang w:eastAsia="ru-RU"/>
        </w:rPr>
        <w:t>27</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E244CE" w:rsidRDefault="00E244CE" w:rsidP="00F9312D">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84E1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44CE"/>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2019-03-28T15:18:00Z</dcterms:created>
  <dcterms:modified xsi:type="dcterms:W3CDTF">2019-03-28T15:19:00Z</dcterms:modified>
</cp:coreProperties>
</file>