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14F" w:rsidRPr="00E1214F" w:rsidRDefault="00E1214F" w:rsidP="00E1214F">
      <w:pPr>
        <w:jc w:val="center"/>
        <w:rPr>
          <w:rFonts w:ascii="Verdana" w:hAnsi="Verdana"/>
          <w:b/>
          <w:sz w:val="20"/>
          <w:szCs w:val="20"/>
        </w:rPr>
      </w:pPr>
      <w:r w:rsidRPr="00E1214F">
        <w:rPr>
          <w:rFonts w:ascii="Verdana" w:hAnsi="Verdana"/>
          <w:b/>
          <w:sz w:val="20"/>
          <w:szCs w:val="20"/>
        </w:rPr>
        <w:t>ОСНОВНЫЕ ФОРМУЛЫ, ИСПОЛЬЗУЕМЫЕ В ЗАДАЧАХ КВАЛЭКЗАМЕНА</w:t>
      </w:r>
    </w:p>
    <w:p w:rsidR="00E1214F" w:rsidRPr="00E1214F" w:rsidRDefault="00E1214F" w:rsidP="00E1214F">
      <w:pPr>
        <w:rPr>
          <w:rFonts w:ascii="Verdana" w:hAnsi="Verdana"/>
          <w:b/>
          <w:sz w:val="20"/>
          <w:szCs w:val="20"/>
        </w:rPr>
      </w:pPr>
    </w:p>
    <w:tbl>
      <w:tblPr>
        <w:tblStyle w:val="ac"/>
        <w:tblW w:w="10206" w:type="dxa"/>
        <w:tblInd w:w="-459" w:type="dxa"/>
        <w:tblLook w:val="04A0"/>
      </w:tblPr>
      <w:tblGrid>
        <w:gridCol w:w="2301"/>
        <w:gridCol w:w="5212"/>
        <w:gridCol w:w="2693"/>
      </w:tblGrid>
      <w:tr w:rsidR="00E1214F" w:rsidRPr="00E1214F" w:rsidTr="00E1214F">
        <w:trPr>
          <w:tblHeader/>
        </w:trPr>
        <w:tc>
          <w:tcPr>
            <w:tcW w:w="2301" w:type="dxa"/>
            <w:shd w:val="clear" w:color="auto" w:fill="D9D9D9" w:themeFill="background1" w:themeFillShade="D9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5212" w:type="dxa"/>
            <w:shd w:val="clear" w:color="auto" w:fill="D9D9D9" w:themeFill="background1" w:themeFillShade="D9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b/>
                <w:sz w:val="20"/>
                <w:szCs w:val="20"/>
              </w:rPr>
              <w:t>Формула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b/>
                <w:sz w:val="20"/>
                <w:szCs w:val="20"/>
              </w:rPr>
              <w:t>Краткое описание</w:t>
            </w:r>
          </w:p>
        </w:tc>
      </w:tr>
      <w:tr w:rsidR="00E1214F" w:rsidRPr="00E1214F" w:rsidTr="00E1214F">
        <w:tc>
          <w:tcPr>
            <w:tcW w:w="2301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Style w:val="ae"/>
                <w:rFonts w:ascii="Verdana" w:eastAsia="Calibri" w:hAnsi="Verdana"/>
                <w:b w:val="0"/>
                <w:sz w:val="20"/>
                <w:szCs w:val="20"/>
              </w:rPr>
              <w:t>1-я функция.</w:t>
            </w:r>
            <w:r w:rsidRPr="00E1214F">
              <w:rPr>
                <w:rFonts w:ascii="Verdana" w:hAnsi="Verdana" w:cs="Times New Roman"/>
                <w:sz w:val="20"/>
                <w:szCs w:val="20"/>
              </w:rPr>
              <w:t xml:space="preserve"> Будущая стоимость денежной единицы (накопленная сумма денежной единицы),</w:t>
            </w:r>
            <w:r w:rsidRPr="00E1214F">
              <w:rPr>
                <w:rStyle w:val="ad"/>
                <w:rFonts w:ascii="Verdana" w:eastAsia="Calibri" w:hAnsi="Verdana"/>
                <w:b w:val="0"/>
                <w:sz w:val="20"/>
                <w:szCs w:val="20"/>
              </w:rPr>
              <w:t xml:space="preserve"> (</w:t>
            </w:r>
            <w:proofErr w:type="spellStart"/>
            <w:r w:rsidRPr="00E1214F">
              <w:rPr>
                <w:rStyle w:val="ad"/>
                <w:rFonts w:ascii="Verdana" w:eastAsia="Calibri" w:hAnsi="Verdana"/>
                <w:b w:val="0"/>
                <w:sz w:val="20"/>
                <w:szCs w:val="20"/>
                <w:lang w:val="en-US"/>
              </w:rPr>
              <w:t>fvf</w:t>
            </w:r>
            <w:proofErr w:type="spellEnd"/>
            <w:r w:rsidRPr="00E1214F">
              <w:rPr>
                <w:rStyle w:val="ad"/>
                <w:rFonts w:ascii="Verdana" w:eastAsia="Calibri" w:hAnsi="Verdana"/>
                <w:b w:val="0"/>
                <w:sz w:val="20"/>
                <w:szCs w:val="20"/>
              </w:rPr>
              <w:t xml:space="preserve">, </w:t>
            </w:r>
            <w:proofErr w:type="spellStart"/>
            <w:r w:rsidRPr="00E1214F">
              <w:rPr>
                <w:rStyle w:val="ad"/>
                <w:rFonts w:ascii="Verdana" w:eastAsia="Calibri" w:hAnsi="Verdana"/>
                <w:b w:val="0"/>
                <w:sz w:val="20"/>
                <w:szCs w:val="20"/>
                <w:lang w:val="en-US"/>
              </w:rPr>
              <w:t>i</w:t>
            </w:r>
            <w:proofErr w:type="spellEnd"/>
            <w:r w:rsidRPr="00E1214F">
              <w:rPr>
                <w:rStyle w:val="ad"/>
                <w:rFonts w:ascii="Verdana" w:eastAsia="Calibri" w:hAnsi="Verdana"/>
                <w:b w:val="0"/>
                <w:sz w:val="20"/>
                <w:szCs w:val="20"/>
              </w:rPr>
              <w:t xml:space="preserve">, </w:t>
            </w:r>
            <w:proofErr w:type="spellStart"/>
            <w:r w:rsidRPr="00E1214F">
              <w:rPr>
                <w:rStyle w:val="1pt"/>
                <w:rFonts w:ascii="Verdana" w:eastAsia="Calibri" w:hAnsi="Verdana"/>
                <w:b w:val="0"/>
                <w:sz w:val="20"/>
                <w:szCs w:val="20"/>
              </w:rPr>
              <w:t>п</w:t>
            </w:r>
            <w:proofErr w:type="spellEnd"/>
            <w:r w:rsidRPr="00E1214F">
              <w:rPr>
                <w:rStyle w:val="1pt"/>
                <w:rFonts w:ascii="Verdana" w:eastAsia="Calibri" w:hAnsi="Verdana"/>
                <w:b w:val="0"/>
                <w:sz w:val="20"/>
                <w:szCs w:val="20"/>
              </w:rPr>
              <w:t>)</w:t>
            </w:r>
          </w:p>
        </w:tc>
        <w:tc>
          <w:tcPr>
            <w:tcW w:w="5212" w:type="dxa"/>
          </w:tcPr>
          <w:p w:rsidR="00E1214F" w:rsidRPr="00E1214F" w:rsidRDefault="00E1214F" w:rsidP="00E1214F">
            <w:pPr>
              <w:pStyle w:val="80"/>
              <w:shd w:val="clear" w:color="auto" w:fill="auto"/>
              <w:spacing w:before="0" w:after="0" w:line="24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Style w:val="81pt"/>
                <w:rFonts w:ascii="Verdana" w:hAnsi="Verdana" w:cs="Times New Roman"/>
                <w:sz w:val="20"/>
                <w:szCs w:val="20"/>
              </w:rPr>
              <w:t>FV= PV×(1+i)</w:t>
            </w:r>
            <w:r w:rsidRPr="00E1214F">
              <w:rPr>
                <w:rStyle w:val="81pt"/>
                <w:rFonts w:ascii="Verdana" w:hAnsi="Verdana" w:cs="Times New Roman"/>
                <w:sz w:val="20"/>
                <w:szCs w:val="20"/>
                <w:vertAlign w:val="superscript"/>
              </w:rPr>
              <w:t>n</w:t>
            </w:r>
            <w:r w:rsidRPr="00E1214F">
              <w:rPr>
                <w:rStyle w:val="81pt"/>
                <w:rFonts w:ascii="Verdana" w:hAnsi="Verdana" w:cs="Times New Roman"/>
                <w:sz w:val="20"/>
                <w:szCs w:val="20"/>
              </w:rPr>
              <w:t xml:space="preserve"> = PV(</w:t>
            </w:r>
            <w:proofErr w:type="spellStart"/>
            <w:r w:rsidRPr="00E1214F">
              <w:rPr>
                <w:rStyle w:val="81pt"/>
                <w:rFonts w:ascii="Verdana" w:hAnsi="Verdana" w:cs="Times New Roman"/>
                <w:sz w:val="20"/>
                <w:szCs w:val="20"/>
              </w:rPr>
              <w:t>fvf</w:t>
            </w:r>
            <w:proofErr w:type="spellEnd"/>
            <w:r w:rsidRPr="00E1214F">
              <w:rPr>
                <w:rStyle w:val="81pt"/>
                <w:rFonts w:ascii="Verdana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E1214F">
              <w:rPr>
                <w:rStyle w:val="81pt"/>
                <w:rFonts w:ascii="Verdana" w:hAnsi="Verdana" w:cs="Times New Roman"/>
                <w:sz w:val="20"/>
                <w:szCs w:val="20"/>
              </w:rPr>
              <w:t>i</w:t>
            </w:r>
            <w:proofErr w:type="spellEnd"/>
            <w:r w:rsidRPr="00E1214F">
              <w:rPr>
                <w:rStyle w:val="81pt"/>
                <w:rFonts w:ascii="Verdana" w:hAnsi="Verdana" w:cs="Times New Roman"/>
                <w:sz w:val="20"/>
                <w:szCs w:val="20"/>
              </w:rPr>
              <w:t>,</w:t>
            </w:r>
            <w:r w:rsidRPr="00E1214F">
              <w:rPr>
                <w:rStyle w:val="81"/>
                <w:rFonts w:ascii="Verdana" w:hAnsi="Verdana" w:cs="Times New Roman"/>
                <w:b w:val="0"/>
                <w:sz w:val="20"/>
                <w:szCs w:val="20"/>
              </w:rPr>
              <w:t xml:space="preserve"> n),</w:t>
            </w:r>
          </w:p>
          <w:p w:rsidR="00E1214F" w:rsidRPr="00E1214F" w:rsidRDefault="00E1214F" w:rsidP="00E1214F">
            <w:pPr>
              <w:pStyle w:val="2"/>
              <w:shd w:val="clear" w:color="auto" w:fill="auto"/>
              <w:spacing w:before="0" w:line="240" w:lineRule="auto"/>
              <w:ind w:left="20" w:right="20" w:firstLine="34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sz w:val="20"/>
                <w:szCs w:val="20"/>
              </w:rPr>
              <w:t xml:space="preserve">Если начисления осуществляются чаще, чем один раз в год, то формула преобразуется в </w:t>
            </w:r>
            <w:proofErr w:type="gramStart"/>
            <w:r w:rsidRPr="00E1214F">
              <w:rPr>
                <w:rFonts w:ascii="Verdana" w:hAnsi="Verdana" w:cs="Times New Roman"/>
                <w:sz w:val="20"/>
                <w:szCs w:val="20"/>
              </w:rPr>
              <w:t>следующую</w:t>
            </w:r>
            <w:proofErr w:type="gramEnd"/>
            <w:r w:rsidRPr="00E1214F">
              <w:rPr>
                <w:rFonts w:ascii="Verdana" w:hAnsi="Verdana" w:cs="Times New Roman"/>
                <w:sz w:val="20"/>
                <w:szCs w:val="20"/>
              </w:rPr>
              <w:t>:</w:t>
            </w:r>
          </w:p>
          <w:p w:rsidR="00E1214F" w:rsidRPr="00E1214F" w:rsidRDefault="00E1214F" w:rsidP="00E1214F">
            <w:pPr>
              <w:pStyle w:val="80"/>
              <w:shd w:val="clear" w:color="auto" w:fill="auto"/>
              <w:spacing w:before="0" w:after="0" w:line="240" w:lineRule="auto"/>
              <w:ind w:left="20" w:right="20"/>
              <w:jc w:val="center"/>
              <w:rPr>
                <w:rFonts w:ascii="Verdana" w:hAnsi="Verdana" w:cs="Times New Roman"/>
                <w:i/>
                <w:sz w:val="20"/>
                <w:szCs w:val="20"/>
                <w:lang w:val="ru-RU"/>
              </w:rPr>
            </w:pPr>
            <w:r w:rsidRPr="00E1214F">
              <w:rPr>
                <w:rFonts w:ascii="Verdana" w:hAnsi="Verdana" w:cs="Times New Roman"/>
                <w:i/>
                <w:position w:val="-36"/>
                <w:sz w:val="20"/>
                <w:szCs w:val="20"/>
                <w:lang w:val="ru-RU"/>
              </w:rPr>
              <w:object w:dxaOrig="2400" w:dyaOrig="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60" type="#_x0000_t75" style="width:95.8pt;height:33.2pt" o:ole="">
                  <v:imagedata r:id="rId7" o:title=""/>
                </v:shape>
                <o:OLEObject Type="Embed" ProgID="Equation.3" ShapeID="_x0000_i1360" DrawAspect="Content" ObjectID="_1573136356" r:id="rId8"/>
              </w:object>
            </w:r>
          </w:p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sz w:val="20"/>
                <w:szCs w:val="20"/>
              </w:rPr>
              <w:t>где</w:t>
            </w:r>
            <w:r w:rsidRPr="00E1214F">
              <w:rPr>
                <w:rStyle w:val="695pt"/>
                <w:rFonts w:ascii="Verdana" w:eastAsia="Calibri" w:hAnsi="Verdana"/>
                <w:b w:val="0"/>
                <w:sz w:val="20"/>
                <w:szCs w:val="20"/>
                <w:lang w:val="ru-RU"/>
              </w:rPr>
              <w:t xml:space="preserve"> </w:t>
            </w:r>
            <w:r w:rsidRPr="00E1214F">
              <w:rPr>
                <w:rStyle w:val="695pt"/>
                <w:rFonts w:ascii="Verdana" w:eastAsia="Calibri" w:hAnsi="Verdana"/>
                <w:b w:val="0"/>
                <w:sz w:val="20"/>
                <w:szCs w:val="20"/>
              </w:rPr>
              <w:t>FV</w:t>
            </w:r>
            <w:r w:rsidRPr="00E1214F">
              <w:rPr>
                <w:rStyle w:val="695pt"/>
                <w:rFonts w:ascii="Verdana" w:eastAsia="Calibri" w:hAnsi="Verdana"/>
                <w:b w:val="0"/>
                <w:sz w:val="20"/>
                <w:szCs w:val="20"/>
                <w:lang w:val="ru-RU"/>
              </w:rPr>
              <w:t xml:space="preserve"> -</w:t>
            </w:r>
            <w:r w:rsidRPr="00E1214F">
              <w:rPr>
                <w:rFonts w:ascii="Verdana" w:hAnsi="Verdana" w:cs="Times New Roman"/>
                <w:sz w:val="20"/>
                <w:szCs w:val="20"/>
              </w:rPr>
              <w:t xml:space="preserve"> будущая стоимость денежной единицы;</w:t>
            </w:r>
          </w:p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sz w:val="20"/>
                <w:szCs w:val="20"/>
                <w:lang w:val="en-US"/>
              </w:rPr>
              <w:t>PV</w:t>
            </w:r>
            <w:r w:rsidRPr="00E1214F">
              <w:rPr>
                <w:rFonts w:ascii="Verdana" w:hAnsi="Verdana" w:cs="Times New Roman"/>
                <w:sz w:val="20"/>
                <w:szCs w:val="20"/>
              </w:rPr>
              <w:t xml:space="preserve"> - текущая стоимость денежной единицы;</w:t>
            </w:r>
          </w:p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E1214F">
              <w:rPr>
                <w:rFonts w:ascii="Verdana" w:hAnsi="Verdana" w:cs="Times New Roman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E1214F">
              <w:rPr>
                <w:rFonts w:ascii="Verdana" w:hAnsi="Verdana" w:cs="Times New Roman"/>
                <w:sz w:val="20"/>
                <w:szCs w:val="20"/>
              </w:rPr>
              <w:t xml:space="preserve"> - ставка дохода;</w:t>
            </w:r>
          </w:p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i/>
                <w:sz w:val="20"/>
                <w:szCs w:val="20"/>
                <w:lang w:val="en-US"/>
              </w:rPr>
              <w:t>n</w:t>
            </w:r>
            <w:r w:rsidRPr="00E1214F">
              <w:rPr>
                <w:rFonts w:ascii="Verdana" w:hAnsi="Verdana" w:cs="Times New Roman"/>
                <w:sz w:val="20"/>
                <w:szCs w:val="20"/>
              </w:rPr>
              <w:t xml:space="preserve"> - число периодов накопления, в годах</w:t>
            </w:r>
          </w:p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Style w:val="695pt0"/>
                <w:rFonts w:ascii="Verdana" w:eastAsia="Calibri" w:hAnsi="Verdana"/>
                <w:sz w:val="20"/>
                <w:szCs w:val="20"/>
                <w:lang w:val="en-US"/>
              </w:rPr>
              <w:t>k</w:t>
            </w:r>
            <w:r w:rsidRPr="00E1214F">
              <w:rPr>
                <w:rStyle w:val="695pt0"/>
                <w:rFonts w:ascii="Verdana" w:eastAsia="Calibri" w:hAnsi="Verdana"/>
                <w:sz w:val="20"/>
                <w:szCs w:val="20"/>
              </w:rPr>
              <w:t xml:space="preserve"> -</w:t>
            </w:r>
            <w:r w:rsidRPr="00E1214F">
              <w:rPr>
                <w:rFonts w:ascii="Verdana" w:hAnsi="Verdana" w:cs="Times New Roman"/>
                <w:sz w:val="20"/>
                <w:szCs w:val="20"/>
              </w:rPr>
              <w:t xml:space="preserve"> частота начислений процентов в го</w:t>
            </w:r>
            <w:bookmarkStart w:id="0" w:name="_GoBack"/>
            <w:bookmarkEnd w:id="0"/>
            <w:r w:rsidRPr="00E1214F">
              <w:rPr>
                <w:rFonts w:ascii="Verdana" w:hAnsi="Verdana" w:cs="Times New Roman"/>
                <w:sz w:val="20"/>
                <w:szCs w:val="20"/>
              </w:rPr>
              <w:t>д</w:t>
            </w:r>
          </w:p>
        </w:tc>
      </w:tr>
      <w:tr w:rsidR="00E1214F" w:rsidRPr="00E1214F" w:rsidTr="00E1214F">
        <w:tc>
          <w:tcPr>
            <w:tcW w:w="2301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Style w:val="ae"/>
                <w:rFonts w:ascii="Verdana" w:eastAsia="Calibri" w:hAnsi="Verdana"/>
                <w:b w:val="0"/>
                <w:sz w:val="20"/>
                <w:szCs w:val="20"/>
              </w:rPr>
              <w:t>2-я функция.</w:t>
            </w:r>
            <w:r w:rsidRPr="00E1214F">
              <w:rPr>
                <w:rFonts w:ascii="Verdana" w:hAnsi="Verdana" w:cs="Times New Roman"/>
                <w:sz w:val="20"/>
                <w:szCs w:val="20"/>
              </w:rPr>
              <w:t xml:space="preserve"> Текущая стоимость единицы (текущая стоимость реверсии (перепродажи))</w:t>
            </w:r>
          </w:p>
        </w:tc>
        <w:tc>
          <w:tcPr>
            <w:tcW w:w="5212" w:type="dxa"/>
          </w:tcPr>
          <w:p w:rsidR="00E1214F" w:rsidRPr="00E1214F" w:rsidRDefault="00E1214F" w:rsidP="00E1214F">
            <w:pPr>
              <w:pStyle w:val="2"/>
              <w:shd w:val="clear" w:color="auto" w:fill="auto"/>
              <w:spacing w:before="0" w:line="240" w:lineRule="auto"/>
              <w:ind w:right="-100" w:firstLine="34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sz w:val="20"/>
                <w:szCs w:val="20"/>
              </w:rPr>
              <w:t>Текущая стоимость единицы является обратной относительно будущей стоимости.</w:t>
            </w:r>
          </w:p>
          <w:p w:rsidR="00E1214F" w:rsidRPr="00E1214F" w:rsidRDefault="00E1214F" w:rsidP="00E1214F">
            <w:pPr>
              <w:pStyle w:val="2"/>
              <w:shd w:val="clear" w:color="auto" w:fill="auto"/>
              <w:spacing w:before="0" w:line="240" w:lineRule="auto"/>
              <w:ind w:right="-102" w:firstLine="0"/>
              <w:jc w:val="center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E1214F">
              <w:rPr>
                <w:rFonts w:ascii="Verdana" w:hAnsi="Verdana" w:cs="Times New Roman"/>
                <w:position w:val="-10"/>
                <w:sz w:val="20"/>
                <w:szCs w:val="20"/>
                <w:lang w:val="en-US"/>
              </w:rPr>
              <w:object w:dxaOrig="180" w:dyaOrig="340">
                <v:shape id="_x0000_i1361" type="#_x0000_t75" style="width:9.4pt;height:16.9pt" o:ole="">
                  <v:imagedata r:id="rId9" o:title=""/>
                </v:shape>
                <o:OLEObject Type="Embed" ProgID="Equation.3" ShapeID="_x0000_i1361" DrawAspect="Content" ObjectID="_1573136357" r:id="rId10"/>
              </w:object>
            </w:r>
            <w:r w:rsidRPr="00E1214F">
              <w:rPr>
                <w:rFonts w:ascii="Verdana" w:hAnsi="Verdana" w:cs="Times New Roman"/>
                <w:position w:val="-32"/>
                <w:sz w:val="20"/>
                <w:szCs w:val="20"/>
                <w:lang w:val="en-US"/>
              </w:rPr>
              <w:object w:dxaOrig="3760" w:dyaOrig="760">
                <v:shape id="_x0000_i1362" type="#_x0000_t75" style="width:156.5pt;height:31.3pt" o:ole="">
                  <v:imagedata r:id="rId11" o:title=""/>
                </v:shape>
                <o:OLEObject Type="Embed" ProgID="Equation.3" ShapeID="_x0000_i1362" DrawAspect="Content" ObjectID="_1573136358" r:id="rId12"/>
              </w:object>
            </w:r>
          </w:p>
          <w:p w:rsidR="00E1214F" w:rsidRPr="00E1214F" w:rsidRDefault="00E1214F" w:rsidP="00E1214F">
            <w:pPr>
              <w:pStyle w:val="2"/>
              <w:shd w:val="clear" w:color="auto" w:fill="auto"/>
              <w:spacing w:before="0" w:line="240" w:lineRule="auto"/>
              <w:ind w:right="-100" w:firstLine="34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sz w:val="20"/>
                <w:szCs w:val="20"/>
              </w:rPr>
              <w:t>Если начисление процентов осуществляется чаще, чем один раз в год, то</w:t>
            </w:r>
          </w:p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position w:val="-10"/>
                <w:sz w:val="20"/>
                <w:szCs w:val="20"/>
                <w:lang w:val="en-US"/>
              </w:rPr>
              <w:object w:dxaOrig="180" w:dyaOrig="340">
                <v:shape id="_x0000_i1363" type="#_x0000_t75" style="width:9.4pt;height:16.9pt" o:ole="">
                  <v:imagedata r:id="rId9" o:title=""/>
                </v:shape>
                <o:OLEObject Type="Embed" ProgID="Equation.3" ShapeID="_x0000_i1363" DrawAspect="Content" ObjectID="_1573136359" r:id="rId13"/>
              </w:object>
            </w:r>
            <w:r w:rsidRPr="00E1214F">
              <w:rPr>
                <w:rFonts w:ascii="Verdana" w:hAnsi="Verdana" w:cs="Times New Roman"/>
                <w:position w:val="-68"/>
                <w:sz w:val="20"/>
                <w:szCs w:val="20"/>
                <w:lang w:val="en-US"/>
              </w:rPr>
              <w:object w:dxaOrig="4020" w:dyaOrig="1500">
                <v:shape id="_x0000_i1364" type="#_x0000_t75" style="width:142.75pt;height:53.85pt" o:ole="">
                  <v:imagedata r:id="rId14" o:title=""/>
                </v:shape>
                <o:OLEObject Type="Embed" ProgID="Equation.3" ShapeID="_x0000_i1364" DrawAspect="Content" ObjectID="_1573136360" r:id="rId15"/>
              </w:object>
            </w:r>
          </w:p>
        </w:tc>
        <w:tc>
          <w:tcPr>
            <w:tcW w:w="2693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1214F" w:rsidRPr="00E1214F" w:rsidTr="00E1214F">
        <w:tc>
          <w:tcPr>
            <w:tcW w:w="2301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Style w:val="ae"/>
                <w:rFonts w:ascii="Verdana" w:eastAsia="Calibri" w:hAnsi="Verdana"/>
                <w:b w:val="0"/>
                <w:sz w:val="20"/>
                <w:szCs w:val="20"/>
              </w:rPr>
              <w:t>3-я функция.</w:t>
            </w:r>
            <w:r w:rsidRPr="00E1214F">
              <w:rPr>
                <w:rFonts w:ascii="Verdana" w:hAnsi="Verdana" w:cs="Times New Roman"/>
                <w:sz w:val="20"/>
                <w:szCs w:val="20"/>
              </w:rPr>
              <w:t xml:space="preserve"> Текущая стоимость аннуитета</w:t>
            </w:r>
          </w:p>
        </w:tc>
        <w:tc>
          <w:tcPr>
            <w:tcW w:w="5212" w:type="dxa"/>
          </w:tcPr>
          <w:p w:rsidR="00E1214F" w:rsidRPr="00E1214F" w:rsidRDefault="00E1214F" w:rsidP="00E1214F">
            <w:pPr>
              <w:pStyle w:val="2"/>
              <w:shd w:val="clear" w:color="auto" w:fill="auto"/>
              <w:spacing w:before="0" w:line="240" w:lineRule="auto"/>
              <w:ind w:right="-100" w:firstLine="34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sz w:val="20"/>
                <w:szCs w:val="20"/>
              </w:rPr>
              <w:t>Формула текущей стоимости обычного аннуитета:</w:t>
            </w:r>
          </w:p>
          <w:p w:rsidR="00E1214F" w:rsidRPr="00E1214F" w:rsidRDefault="00E1214F" w:rsidP="00E1214F">
            <w:pPr>
              <w:pStyle w:val="2"/>
              <w:shd w:val="clear" w:color="auto" w:fill="auto"/>
              <w:spacing w:before="0" w:line="240" w:lineRule="auto"/>
              <w:ind w:right="-100" w:firstLine="34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position w:val="-70"/>
                <w:sz w:val="20"/>
                <w:szCs w:val="20"/>
              </w:rPr>
              <w:object w:dxaOrig="4880" w:dyaOrig="1540">
                <v:shape id="_x0000_i1365" type="#_x0000_t75" style="width:167.15pt;height:52.6pt" o:ole="">
                  <v:imagedata r:id="rId16" o:title=""/>
                </v:shape>
                <o:OLEObject Type="Embed" ProgID="Equation.3" ShapeID="_x0000_i1365" DrawAspect="Content" ObjectID="_1573136361" r:id="rId17"/>
              </w:object>
            </w:r>
          </w:p>
          <w:p w:rsidR="00E1214F" w:rsidRPr="00E1214F" w:rsidRDefault="00E1214F" w:rsidP="00E1214F">
            <w:pPr>
              <w:pStyle w:val="2"/>
              <w:shd w:val="clear" w:color="auto" w:fill="auto"/>
              <w:spacing w:before="0" w:line="240" w:lineRule="auto"/>
              <w:ind w:right="-100" w:firstLine="34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sz w:val="20"/>
                <w:szCs w:val="20"/>
              </w:rPr>
              <w:t xml:space="preserve">где </w:t>
            </w:r>
            <w:r w:rsidRPr="00E1214F">
              <w:rPr>
                <w:rFonts w:ascii="Verdana" w:hAnsi="Verdana" w:cs="Times New Roman"/>
                <w:sz w:val="20"/>
                <w:szCs w:val="20"/>
                <w:lang w:val="en-US"/>
              </w:rPr>
              <w:t>PMT</w:t>
            </w:r>
            <w:r w:rsidRPr="00E1214F">
              <w:rPr>
                <w:rFonts w:ascii="Verdana" w:hAnsi="Verdana" w:cs="Times New Roman"/>
                <w:sz w:val="20"/>
                <w:szCs w:val="20"/>
              </w:rPr>
              <w:t xml:space="preserve"> – равновеликие периодические платежи.</w:t>
            </w:r>
          </w:p>
          <w:p w:rsidR="00E1214F" w:rsidRPr="00E1214F" w:rsidRDefault="00E1214F" w:rsidP="00E1214F">
            <w:pPr>
              <w:pStyle w:val="2"/>
              <w:shd w:val="clear" w:color="auto" w:fill="auto"/>
              <w:spacing w:before="0" w:line="240" w:lineRule="auto"/>
              <w:ind w:right="-100" w:firstLine="34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sz w:val="20"/>
                <w:szCs w:val="20"/>
              </w:rPr>
              <w:t>Если частота начислений превышает 1 раз в год, то</w:t>
            </w:r>
          </w:p>
          <w:p w:rsidR="00E1214F" w:rsidRPr="00E1214F" w:rsidRDefault="00E1214F" w:rsidP="00E1214F">
            <w:pPr>
              <w:pStyle w:val="2"/>
              <w:shd w:val="clear" w:color="auto" w:fill="auto"/>
              <w:spacing w:before="0" w:line="240" w:lineRule="auto"/>
              <w:ind w:right="-100" w:firstLine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position w:val="-144"/>
                <w:sz w:val="20"/>
                <w:szCs w:val="20"/>
              </w:rPr>
              <w:object w:dxaOrig="3220" w:dyaOrig="3000">
                <v:shape id="_x0000_i1366" type="#_x0000_t75" style="width:81.4pt;height:75.75pt" o:ole="">
                  <v:imagedata r:id="rId18" o:title=""/>
                </v:shape>
                <o:OLEObject Type="Embed" ProgID="Equation.3" ShapeID="_x0000_i1366" DrawAspect="Content" ObjectID="_1573136362" r:id="rId19"/>
              </w:object>
            </w:r>
          </w:p>
          <w:p w:rsidR="00E1214F" w:rsidRPr="00E1214F" w:rsidRDefault="00E1214F" w:rsidP="00E1214F">
            <w:pPr>
              <w:pStyle w:val="2"/>
              <w:shd w:val="clear" w:color="auto" w:fill="auto"/>
              <w:spacing w:before="0" w:line="240" w:lineRule="auto"/>
              <w:ind w:right="-100" w:firstLine="34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sz w:val="20"/>
                <w:szCs w:val="20"/>
              </w:rPr>
              <w:t>Формула текущей стоимости авансового аннуитета:</w:t>
            </w:r>
          </w:p>
          <w:p w:rsidR="00E1214F" w:rsidRPr="00E1214F" w:rsidRDefault="00E1214F" w:rsidP="00E1214F">
            <w:pPr>
              <w:pStyle w:val="2"/>
              <w:shd w:val="clear" w:color="auto" w:fill="auto"/>
              <w:spacing w:before="0" w:line="240" w:lineRule="auto"/>
              <w:ind w:right="-100" w:firstLine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position w:val="-70"/>
                <w:sz w:val="20"/>
                <w:szCs w:val="20"/>
              </w:rPr>
              <w:object w:dxaOrig="6240" w:dyaOrig="1540">
                <v:shape id="_x0000_i1367" type="#_x0000_t75" style="width:188.45pt;height:45.7pt" o:ole="">
                  <v:imagedata r:id="rId20" o:title=""/>
                </v:shape>
                <o:OLEObject Type="Embed" ProgID="Equation.3" ShapeID="_x0000_i1367" DrawAspect="Content" ObjectID="_1573136363" r:id="rId21"/>
              </w:object>
            </w:r>
          </w:p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i/>
                <w:iCs/>
                <w:sz w:val="20"/>
                <w:szCs w:val="20"/>
              </w:rPr>
              <w:t>Аннуитет</w:t>
            </w:r>
            <w:r w:rsidRPr="00E1214F">
              <w:rPr>
                <w:rFonts w:ascii="Verdana" w:hAnsi="Verdana" w:cs="Times New Roman"/>
                <w:sz w:val="20"/>
                <w:szCs w:val="20"/>
              </w:rPr>
              <w:t xml:space="preserve"> представляет собой частный случаи однонаправленного денежного потока, в котором длительности всех периодов равны между собой. Примером аннуитета может быть арендные платежи, рента, выплаты процентов по вкладам, регулярные взносы в пенсионный фонд.</w:t>
            </w:r>
          </w:p>
          <w:p w:rsid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1214F" w:rsidRPr="00E1214F" w:rsidTr="00E1214F">
        <w:tc>
          <w:tcPr>
            <w:tcW w:w="2301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Style w:val="ae"/>
                <w:rFonts w:ascii="Verdana" w:eastAsia="Calibri" w:hAnsi="Verdana"/>
                <w:b w:val="0"/>
                <w:sz w:val="20"/>
                <w:szCs w:val="20"/>
              </w:rPr>
              <w:t>4-я функция. Накопление денежной единицы за период (</w:t>
            </w:r>
            <w:proofErr w:type="spellStart"/>
            <w:r w:rsidRPr="00E1214F">
              <w:rPr>
                <w:rStyle w:val="ae"/>
                <w:rFonts w:ascii="Verdana" w:eastAsia="Calibri" w:hAnsi="Verdana"/>
                <w:b w:val="0"/>
                <w:i/>
                <w:iCs/>
                <w:sz w:val="20"/>
                <w:szCs w:val="20"/>
              </w:rPr>
              <w:t>fvaf</w:t>
            </w:r>
            <w:proofErr w:type="spellEnd"/>
            <w:r w:rsidRPr="00E1214F">
              <w:rPr>
                <w:rStyle w:val="ae"/>
                <w:rFonts w:ascii="Verdana" w:eastAsia="Calibri" w:hAnsi="Verdana"/>
                <w:b w:val="0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1214F">
              <w:rPr>
                <w:rStyle w:val="ae"/>
                <w:rFonts w:ascii="Verdana" w:eastAsia="Calibri" w:hAnsi="Verdana"/>
                <w:b w:val="0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 w:rsidRPr="00E1214F">
              <w:rPr>
                <w:rStyle w:val="ae"/>
                <w:rFonts w:ascii="Verdana" w:eastAsia="Calibri" w:hAnsi="Verdana"/>
                <w:b w:val="0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1214F">
              <w:rPr>
                <w:rStyle w:val="ae"/>
                <w:rFonts w:ascii="Verdana" w:eastAsia="Calibri" w:hAnsi="Verdana"/>
                <w:b w:val="0"/>
                <w:i/>
                <w:iCs/>
                <w:sz w:val="20"/>
                <w:szCs w:val="20"/>
              </w:rPr>
              <w:t>п</w:t>
            </w:r>
            <w:proofErr w:type="spellEnd"/>
            <w:r w:rsidRPr="00E1214F">
              <w:rPr>
                <w:rStyle w:val="ae"/>
                <w:rFonts w:ascii="Verdana" w:eastAsia="Calibri" w:hAnsi="Verdana"/>
                <w:b w:val="0"/>
                <w:i/>
                <w:iCs/>
                <w:sz w:val="20"/>
                <w:szCs w:val="20"/>
              </w:rPr>
              <w:t>).</w:t>
            </w:r>
          </w:p>
        </w:tc>
        <w:tc>
          <w:tcPr>
            <w:tcW w:w="5212" w:type="dxa"/>
          </w:tcPr>
          <w:p w:rsidR="00E1214F" w:rsidRPr="00E1214F" w:rsidRDefault="00E1214F" w:rsidP="00E1214F">
            <w:pPr>
              <w:pStyle w:val="2"/>
              <w:shd w:val="clear" w:color="auto" w:fill="auto"/>
              <w:spacing w:before="0" w:line="240" w:lineRule="auto"/>
              <w:ind w:right="-100" w:firstLine="340"/>
              <w:jc w:val="center"/>
              <w:rPr>
                <w:rStyle w:val="ae"/>
                <w:rFonts w:ascii="Verdana" w:hAnsi="Verdana"/>
                <w:b w:val="0"/>
                <w:sz w:val="20"/>
                <w:szCs w:val="20"/>
              </w:rPr>
            </w:pPr>
            <w:r w:rsidRPr="00E1214F">
              <w:rPr>
                <w:rStyle w:val="ae"/>
                <w:rFonts w:ascii="Verdana" w:hAnsi="Verdana"/>
                <w:b w:val="0"/>
                <w:sz w:val="20"/>
                <w:szCs w:val="20"/>
              </w:rPr>
              <w:t>Формула обычного аннуитета:</w:t>
            </w:r>
          </w:p>
          <w:p w:rsidR="00E1214F" w:rsidRPr="00E1214F" w:rsidRDefault="00E1214F" w:rsidP="00E1214F">
            <w:pPr>
              <w:pStyle w:val="2"/>
              <w:shd w:val="clear" w:color="auto" w:fill="auto"/>
              <w:spacing w:before="0" w:line="240" w:lineRule="auto"/>
              <w:ind w:right="-102" w:firstLine="34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position w:val="-34"/>
                <w:sz w:val="20"/>
                <w:szCs w:val="20"/>
              </w:rPr>
              <w:object w:dxaOrig="4760" w:dyaOrig="800">
                <v:shape id="_x0000_i1368" type="#_x0000_t75" style="width:201.6pt;height:33.8pt" o:ole="">
                  <v:imagedata r:id="rId22" o:title=""/>
                </v:shape>
                <o:OLEObject Type="Embed" ProgID="Equation.3" ShapeID="_x0000_i1368" DrawAspect="Content" ObjectID="_1573136364" r:id="rId23"/>
              </w:object>
            </w:r>
          </w:p>
          <w:p w:rsidR="00E1214F" w:rsidRPr="00E1214F" w:rsidRDefault="00E1214F" w:rsidP="00E1214F">
            <w:pPr>
              <w:pStyle w:val="2"/>
              <w:shd w:val="clear" w:color="auto" w:fill="auto"/>
              <w:spacing w:before="0" w:line="240" w:lineRule="auto"/>
              <w:ind w:right="-100" w:firstLine="34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Style w:val="ae"/>
                <w:rFonts w:ascii="Verdana" w:hAnsi="Verdana"/>
                <w:b w:val="0"/>
                <w:sz w:val="20"/>
                <w:szCs w:val="20"/>
              </w:rPr>
              <w:t>Формула авансового аннуитета:</w:t>
            </w:r>
          </w:p>
          <w:p w:rsidR="00E1214F" w:rsidRPr="00E1214F" w:rsidRDefault="00E1214F" w:rsidP="00E1214F">
            <w:pPr>
              <w:pStyle w:val="2"/>
              <w:shd w:val="clear" w:color="auto" w:fill="auto"/>
              <w:spacing w:before="0" w:line="240" w:lineRule="auto"/>
              <w:ind w:right="-102" w:firstLine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position w:val="-34"/>
                <w:sz w:val="20"/>
                <w:szCs w:val="20"/>
              </w:rPr>
              <w:object w:dxaOrig="3180" w:dyaOrig="800">
                <v:shape id="_x0000_i1369" type="#_x0000_t75" style="width:113.3pt;height:28.8pt" o:ole="">
                  <v:imagedata r:id="rId24" o:title=""/>
                </v:shape>
                <o:OLEObject Type="Embed" ProgID="Equation.3" ShapeID="_x0000_i1369" DrawAspect="Content" ObjectID="_1573136365" r:id="rId25"/>
              </w:object>
            </w:r>
          </w:p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Style w:val="ae"/>
                <w:rFonts w:ascii="Verdana" w:eastAsia="Calibri" w:hAnsi="Verdana"/>
                <w:b w:val="0"/>
                <w:sz w:val="20"/>
                <w:szCs w:val="20"/>
              </w:rPr>
              <w:lastRenderedPageBreak/>
              <w:t xml:space="preserve">В результате использования данной функции определяется будущая стоимость серии равновеликих периодических платежей </w:t>
            </w:r>
            <w:r w:rsidRPr="00E1214F">
              <w:rPr>
                <w:rStyle w:val="ae"/>
                <w:rFonts w:ascii="Verdana" w:eastAsia="Calibri" w:hAnsi="Verdana"/>
                <w:b w:val="0"/>
                <w:sz w:val="20"/>
                <w:szCs w:val="20"/>
              </w:rPr>
              <w:lastRenderedPageBreak/>
              <w:t>(поступлений). Платежи также могут осуществляться в начале и в конце периода.</w:t>
            </w:r>
          </w:p>
        </w:tc>
      </w:tr>
      <w:tr w:rsidR="00E1214F" w:rsidRPr="00E1214F" w:rsidTr="00E1214F">
        <w:tc>
          <w:tcPr>
            <w:tcW w:w="2301" w:type="dxa"/>
          </w:tcPr>
          <w:p w:rsidR="00E1214F" w:rsidRPr="00E1214F" w:rsidRDefault="00E1214F" w:rsidP="00E1214F">
            <w:pPr>
              <w:pStyle w:val="2"/>
              <w:shd w:val="clear" w:color="auto" w:fill="auto"/>
              <w:spacing w:before="0" w:line="240" w:lineRule="auto"/>
              <w:ind w:right="-100" w:firstLine="34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Style w:val="ae"/>
                <w:rFonts w:ascii="Verdana" w:hAnsi="Verdana"/>
                <w:b w:val="0"/>
                <w:sz w:val="20"/>
                <w:szCs w:val="20"/>
              </w:rPr>
              <w:lastRenderedPageBreak/>
              <w:t>5-я функция. Взнос на амортизацию денежной единицы (</w:t>
            </w:r>
            <w:proofErr w:type="spellStart"/>
            <w:r w:rsidRPr="00E1214F">
              <w:rPr>
                <w:rStyle w:val="ae"/>
                <w:rFonts w:ascii="Verdana" w:hAnsi="Verdana"/>
                <w:b w:val="0"/>
                <w:i/>
                <w:iCs/>
                <w:sz w:val="20"/>
                <w:szCs w:val="20"/>
              </w:rPr>
              <w:t>iaof</w:t>
            </w:r>
            <w:proofErr w:type="spellEnd"/>
            <w:r w:rsidRPr="00E1214F">
              <w:rPr>
                <w:rStyle w:val="ae"/>
                <w:rFonts w:ascii="Verdana" w:hAnsi="Verdana"/>
                <w:b w:val="0"/>
                <w:sz w:val="20"/>
                <w:szCs w:val="20"/>
              </w:rPr>
              <w:t>,</w:t>
            </w:r>
            <w:r w:rsidRPr="00E1214F">
              <w:rPr>
                <w:rStyle w:val="ae"/>
                <w:rFonts w:ascii="Verdana" w:hAnsi="Verdana"/>
                <w:b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1214F">
              <w:rPr>
                <w:rStyle w:val="ae"/>
                <w:rFonts w:ascii="Verdana" w:hAnsi="Verdana"/>
                <w:b w:val="0"/>
                <w:i/>
                <w:iCs/>
                <w:sz w:val="20"/>
                <w:szCs w:val="20"/>
              </w:rPr>
              <w:t>i</w:t>
            </w:r>
            <w:proofErr w:type="spellEnd"/>
            <w:r w:rsidRPr="00E1214F">
              <w:rPr>
                <w:rStyle w:val="ae"/>
                <w:rFonts w:ascii="Verdana" w:hAnsi="Verdana"/>
                <w:b w:val="0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1214F">
              <w:rPr>
                <w:rStyle w:val="ae"/>
                <w:rFonts w:ascii="Verdana" w:hAnsi="Verdana"/>
                <w:b w:val="0"/>
                <w:i/>
                <w:iCs/>
                <w:sz w:val="20"/>
                <w:szCs w:val="20"/>
              </w:rPr>
              <w:t>п</w:t>
            </w:r>
            <w:proofErr w:type="spellEnd"/>
            <w:r w:rsidRPr="00E1214F">
              <w:rPr>
                <w:rStyle w:val="ae"/>
                <w:rFonts w:ascii="Verdana" w:hAnsi="Verdana"/>
                <w:b w:val="0"/>
                <w:i/>
                <w:iCs/>
                <w:sz w:val="20"/>
                <w:szCs w:val="20"/>
              </w:rPr>
              <w:t>)</w:t>
            </w:r>
          </w:p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12" w:type="dxa"/>
          </w:tcPr>
          <w:p w:rsidR="00E1214F" w:rsidRPr="00E1214F" w:rsidRDefault="00E1214F" w:rsidP="00E1214F">
            <w:pPr>
              <w:pStyle w:val="2"/>
              <w:shd w:val="clear" w:color="auto" w:fill="auto"/>
              <w:spacing w:before="0" w:line="240" w:lineRule="auto"/>
              <w:ind w:right="-102" w:firstLine="0"/>
              <w:jc w:val="center"/>
              <w:rPr>
                <w:rStyle w:val="ae"/>
                <w:rFonts w:ascii="Verdana" w:hAnsi="Verdana"/>
                <w:b w:val="0"/>
                <w:sz w:val="20"/>
                <w:szCs w:val="20"/>
              </w:rPr>
            </w:pPr>
            <w:r w:rsidRPr="00E1214F">
              <w:rPr>
                <w:rStyle w:val="ae"/>
                <w:rFonts w:ascii="Verdana" w:hAnsi="Verdana"/>
                <w:b w:val="0"/>
                <w:sz w:val="20"/>
                <w:szCs w:val="20"/>
              </w:rPr>
              <w:object w:dxaOrig="4620" w:dyaOrig="1540">
                <v:shape id="_x0000_i1370" type="#_x0000_t75" style="width:119.6pt;height:39.45pt" o:ole="">
                  <v:imagedata r:id="rId26" o:title=""/>
                </v:shape>
                <o:OLEObject Type="Embed" ProgID="Equation.3" ShapeID="_x0000_i1370" DrawAspect="Content" ObjectID="_1573136366" r:id="rId27"/>
              </w:object>
            </w:r>
          </w:p>
          <w:p w:rsidR="00E1214F" w:rsidRPr="00E1214F" w:rsidRDefault="00E1214F" w:rsidP="00E1214F">
            <w:pPr>
              <w:pStyle w:val="2"/>
              <w:shd w:val="clear" w:color="auto" w:fill="auto"/>
              <w:spacing w:before="0" w:line="240" w:lineRule="auto"/>
              <w:ind w:right="-100" w:firstLine="340"/>
              <w:jc w:val="center"/>
              <w:rPr>
                <w:rStyle w:val="ae"/>
                <w:rFonts w:ascii="Verdana" w:hAnsi="Verdana"/>
                <w:b w:val="0"/>
                <w:sz w:val="20"/>
                <w:szCs w:val="20"/>
              </w:rPr>
            </w:pPr>
            <w:r w:rsidRPr="00E1214F">
              <w:rPr>
                <w:rStyle w:val="ae"/>
                <w:rFonts w:ascii="Verdana" w:hAnsi="Verdana"/>
                <w:b w:val="0"/>
                <w:sz w:val="20"/>
                <w:szCs w:val="20"/>
              </w:rPr>
              <w:t>При платежах, осуществляемых чаще, чем 1 раз в год, используется следующая формула:</w:t>
            </w:r>
          </w:p>
          <w:p w:rsidR="00E1214F" w:rsidRPr="00E1214F" w:rsidRDefault="00E1214F" w:rsidP="00E1214F">
            <w:pPr>
              <w:pStyle w:val="2"/>
              <w:shd w:val="clear" w:color="auto" w:fill="auto"/>
              <w:spacing w:before="0" w:line="240" w:lineRule="auto"/>
              <w:ind w:right="-100" w:firstLine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Style w:val="ae"/>
                <w:rFonts w:ascii="Verdana" w:hAnsi="Verdana"/>
                <w:b w:val="0"/>
                <w:sz w:val="20"/>
                <w:szCs w:val="20"/>
              </w:rPr>
              <w:object w:dxaOrig="3220" w:dyaOrig="3000">
                <v:shape id="_x0000_i1371" type="#_x0000_t75" style="width:87.05pt;height:80.75pt" o:ole="">
                  <v:imagedata r:id="rId28" o:title=""/>
                </v:shape>
                <o:OLEObject Type="Embed" ProgID="Equation.3" ShapeID="_x0000_i1371" DrawAspect="Content" ObjectID="_1573136367" r:id="rId29"/>
              </w:object>
            </w:r>
          </w:p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1214F" w:rsidRPr="00E1214F" w:rsidRDefault="00E1214F" w:rsidP="00E1214F">
            <w:pPr>
              <w:pStyle w:val="2"/>
              <w:shd w:val="clear" w:color="auto" w:fill="auto"/>
              <w:spacing w:before="0" w:line="240" w:lineRule="auto"/>
              <w:ind w:right="-100" w:firstLine="340"/>
              <w:jc w:val="center"/>
              <w:rPr>
                <w:rStyle w:val="ae"/>
                <w:rFonts w:ascii="Verdana" w:hAnsi="Verdana"/>
                <w:b w:val="0"/>
                <w:sz w:val="20"/>
                <w:szCs w:val="20"/>
              </w:rPr>
            </w:pPr>
            <w:r w:rsidRPr="00E1214F">
              <w:rPr>
                <w:rStyle w:val="ae"/>
                <w:rFonts w:ascii="Verdana" w:hAnsi="Verdana"/>
                <w:b w:val="0"/>
                <w:sz w:val="20"/>
                <w:szCs w:val="20"/>
              </w:rPr>
              <w:t xml:space="preserve">Функция является обратной величиной текущей стоимости обычного аннуитета. Взнос на амортизацию денежной единицы используется для определения величины </w:t>
            </w:r>
            <w:proofErr w:type="spellStart"/>
            <w:r w:rsidRPr="00E1214F">
              <w:rPr>
                <w:rStyle w:val="ae"/>
                <w:rFonts w:ascii="Verdana" w:hAnsi="Verdana"/>
                <w:b w:val="0"/>
                <w:sz w:val="20"/>
                <w:szCs w:val="20"/>
              </w:rPr>
              <w:t>аннуитетного</w:t>
            </w:r>
            <w:proofErr w:type="spellEnd"/>
            <w:r w:rsidRPr="00E1214F">
              <w:rPr>
                <w:rStyle w:val="ae"/>
                <w:rFonts w:ascii="Verdana" w:hAnsi="Verdana"/>
                <w:b w:val="0"/>
                <w:sz w:val="20"/>
                <w:szCs w:val="20"/>
              </w:rPr>
              <w:t xml:space="preserve"> платежа в счет погашения кредита, выданного на определенный период при заданной ставке по кредиту.</w:t>
            </w:r>
          </w:p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Style w:val="ae"/>
                <w:rFonts w:ascii="Verdana" w:eastAsia="Calibri" w:hAnsi="Verdana"/>
                <w:b w:val="0"/>
                <w:sz w:val="20"/>
                <w:szCs w:val="20"/>
              </w:rPr>
              <w:t>Амортизация - это процесс, определяемый данной функцией, включает проценты по кредиту и оплату основной суммы долга.</w:t>
            </w:r>
          </w:p>
        </w:tc>
      </w:tr>
      <w:tr w:rsidR="00E1214F" w:rsidRPr="00E1214F" w:rsidTr="00E1214F">
        <w:tc>
          <w:tcPr>
            <w:tcW w:w="2301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Style w:val="ae"/>
                <w:rFonts w:ascii="Verdana" w:eastAsia="Calibri" w:hAnsi="Verdana"/>
                <w:b w:val="0"/>
                <w:sz w:val="20"/>
                <w:szCs w:val="20"/>
              </w:rPr>
              <w:t>6-я функция.</w:t>
            </w:r>
            <w:r w:rsidRPr="00E1214F">
              <w:rPr>
                <w:rFonts w:ascii="Verdana" w:hAnsi="Verdana" w:cs="Times New Roman"/>
                <w:sz w:val="20"/>
                <w:szCs w:val="20"/>
              </w:rPr>
              <w:t xml:space="preserve"> Фактор фонда возмещения</w:t>
            </w:r>
            <w:r w:rsidRPr="00E1214F">
              <w:rPr>
                <w:rStyle w:val="af0"/>
                <w:rFonts w:ascii="Verdana" w:eastAsia="Calibri" w:hAnsi="Verdana"/>
                <w:sz w:val="20"/>
                <w:szCs w:val="20"/>
              </w:rPr>
              <w:t xml:space="preserve"> (</w:t>
            </w:r>
            <w:proofErr w:type="spellStart"/>
            <w:r w:rsidRPr="00E1214F">
              <w:rPr>
                <w:rStyle w:val="af0"/>
                <w:rFonts w:ascii="Verdana" w:eastAsia="Calibri" w:hAnsi="Verdana"/>
                <w:sz w:val="20"/>
                <w:szCs w:val="20"/>
                <w:lang w:val="en-US"/>
              </w:rPr>
              <w:t>sff</w:t>
            </w:r>
            <w:proofErr w:type="spellEnd"/>
            <w:r w:rsidRPr="00E1214F">
              <w:rPr>
                <w:rStyle w:val="af0"/>
                <w:rFonts w:ascii="Verdana" w:eastAsia="Calibri" w:hAnsi="Verdana"/>
                <w:sz w:val="20"/>
                <w:szCs w:val="20"/>
              </w:rPr>
              <w:t xml:space="preserve">, </w:t>
            </w:r>
            <w:proofErr w:type="spellStart"/>
            <w:r w:rsidRPr="00E1214F">
              <w:rPr>
                <w:rStyle w:val="af0"/>
                <w:rFonts w:ascii="Verdana" w:eastAsia="Calibri" w:hAnsi="Verdana"/>
                <w:sz w:val="20"/>
                <w:szCs w:val="20"/>
                <w:lang w:val="en-US"/>
              </w:rPr>
              <w:t>i</w:t>
            </w:r>
            <w:proofErr w:type="spellEnd"/>
            <w:r w:rsidRPr="00E1214F">
              <w:rPr>
                <w:rStyle w:val="af0"/>
                <w:rFonts w:ascii="Verdana" w:eastAsia="Calibri" w:hAnsi="Verdana"/>
                <w:sz w:val="20"/>
                <w:szCs w:val="20"/>
              </w:rPr>
              <w:t xml:space="preserve">, </w:t>
            </w:r>
            <w:proofErr w:type="spellStart"/>
            <w:r w:rsidRPr="00E1214F">
              <w:rPr>
                <w:rStyle w:val="af0"/>
                <w:rFonts w:ascii="Verdana" w:eastAsia="Calibri" w:hAnsi="Verdana"/>
                <w:sz w:val="20"/>
                <w:szCs w:val="20"/>
              </w:rPr>
              <w:t>п</w:t>
            </w:r>
            <w:proofErr w:type="spellEnd"/>
            <w:r w:rsidRPr="00E1214F">
              <w:rPr>
                <w:rStyle w:val="af0"/>
                <w:rFonts w:ascii="Verdana" w:eastAsia="Calibri" w:hAnsi="Verdana"/>
                <w:sz w:val="20"/>
                <w:szCs w:val="20"/>
              </w:rPr>
              <w:t>)</w:t>
            </w:r>
          </w:p>
        </w:tc>
        <w:tc>
          <w:tcPr>
            <w:tcW w:w="5212" w:type="dxa"/>
          </w:tcPr>
          <w:p w:rsidR="00E1214F" w:rsidRPr="00E1214F" w:rsidRDefault="00E1214F" w:rsidP="00E1214F">
            <w:pPr>
              <w:pStyle w:val="2"/>
              <w:shd w:val="clear" w:color="auto" w:fill="auto"/>
              <w:spacing w:before="0" w:line="240" w:lineRule="auto"/>
              <w:ind w:right="-102" w:firstLine="34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position w:val="-32"/>
                <w:sz w:val="20"/>
                <w:szCs w:val="20"/>
              </w:rPr>
              <w:object w:dxaOrig="4239" w:dyaOrig="760">
                <v:shape id="_x0000_i1372" type="#_x0000_t75" style="width:195.95pt;height:35.7pt" o:ole="">
                  <v:imagedata r:id="rId30" o:title=""/>
                </v:shape>
                <o:OLEObject Type="Embed" ProgID="Equation.3" ShapeID="_x0000_i1372" DrawAspect="Content" ObjectID="_1573136368" r:id="rId31"/>
              </w:object>
            </w:r>
          </w:p>
          <w:p w:rsidR="00E1214F" w:rsidRPr="00E1214F" w:rsidRDefault="00E1214F" w:rsidP="00E1214F">
            <w:pPr>
              <w:pStyle w:val="2"/>
              <w:shd w:val="clear" w:color="auto" w:fill="auto"/>
              <w:spacing w:before="0" w:line="240" w:lineRule="auto"/>
              <w:ind w:firstLine="318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sz w:val="20"/>
                <w:szCs w:val="20"/>
              </w:rPr>
              <w:t>При платежах (поступлениях), осуществляемых чаще, чем раз в год:</w:t>
            </w:r>
          </w:p>
          <w:p w:rsidR="00E1214F" w:rsidRPr="00E1214F" w:rsidRDefault="00E1214F" w:rsidP="00E1214F">
            <w:pPr>
              <w:pStyle w:val="2"/>
              <w:shd w:val="clear" w:color="auto" w:fill="auto"/>
              <w:spacing w:before="0" w:line="240" w:lineRule="auto"/>
              <w:ind w:right="-102" w:firstLine="34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position w:val="-68"/>
                <w:sz w:val="20"/>
                <w:szCs w:val="20"/>
              </w:rPr>
              <w:object w:dxaOrig="4500" w:dyaOrig="1500">
                <v:shape id="_x0000_i1373" type="#_x0000_t75" style="width:203.5pt;height:67.6pt" o:ole="">
                  <v:imagedata r:id="rId32" o:title=""/>
                </v:shape>
                <o:OLEObject Type="Embed" ProgID="Equation.3" ShapeID="_x0000_i1373" DrawAspect="Content" ObjectID="_1573136369" r:id="rId33"/>
              </w:object>
            </w:r>
          </w:p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sz w:val="20"/>
                <w:szCs w:val="20"/>
              </w:rPr>
              <w:t xml:space="preserve">Данная функция </w:t>
            </w:r>
            <w:proofErr w:type="spellStart"/>
            <w:r w:rsidRPr="00E1214F">
              <w:rPr>
                <w:rFonts w:ascii="Verdana" w:hAnsi="Verdana" w:cs="Times New Roman"/>
                <w:sz w:val="20"/>
                <w:szCs w:val="20"/>
              </w:rPr>
              <w:t>обратна</w:t>
            </w:r>
            <w:proofErr w:type="spellEnd"/>
            <w:r w:rsidRPr="00E1214F">
              <w:rPr>
                <w:rFonts w:ascii="Verdana" w:hAnsi="Verdana" w:cs="Times New Roman"/>
                <w:sz w:val="20"/>
                <w:szCs w:val="20"/>
              </w:rPr>
              <w:t xml:space="preserve"> функции накопления единицы за период. Фактор фонда возмещения показывает </w:t>
            </w:r>
            <w:proofErr w:type="spellStart"/>
            <w:r w:rsidRPr="00E1214F">
              <w:rPr>
                <w:rFonts w:ascii="Verdana" w:hAnsi="Verdana" w:cs="Times New Roman"/>
                <w:sz w:val="20"/>
                <w:szCs w:val="20"/>
              </w:rPr>
              <w:t>аннуитетный</w:t>
            </w:r>
            <w:proofErr w:type="spellEnd"/>
            <w:r w:rsidRPr="00E1214F">
              <w:rPr>
                <w:rFonts w:ascii="Verdana" w:hAnsi="Verdana" w:cs="Times New Roman"/>
                <w:sz w:val="20"/>
                <w:szCs w:val="20"/>
              </w:rPr>
              <w:t xml:space="preserve"> платеж, который необходимо депонировать под заданный процент в конце каждого периода для того, чтобы через заданное число периодов получить искомую сумму</w:t>
            </w:r>
          </w:p>
        </w:tc>
      </w:tr>
      <w:tr w:rsidR="00E1214F" w:rsidRPr="00E1214F" w:rsidTr="00E1214F">
        <w:tc>
          <w:tcPr>
            <w:tcW w:w="2301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sz w:val="20"/>
                <w:szCs w:val="20"/>
              </w:rPr>
              <w:t>Аддитивная модель расчета совокупного износа</w:t>
            </w:r>
          </w:p>
        </w:tc>
        <w:tc>
          <w:tcPr>
            <w:tcW w:w="5212" w:type="dxa"/>
          </w:tcPr>
          <w:p w:rsidR="00E1214F" w:rsidRPr="00E1214F" w:rsidRDefault="00E1214F" w:rsidP="00E1214F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sz w:val="20"/>
                <w:szCs w:val="20"/>
              </w:rPr>
              <w:t xml:space="preserve">– модель, предполагающая расчет коэффициента совокупного износа как суммы коэффициентов физического износа, функционального и экономического </w:t>
            </w:r>
            <w:proofErr w:type="spellStart"/>
            <w:r w:rsidRPr="00E1214F">
              <w:rPr>
                <w:rFonts w:ascii="Verdana" w:eastAsia="Times New Roman" w:hAnsi="Verdana" w:cs="Times New Roman"/>
                <w:sz w:val="20"/>
                <w:szCs w:val="20"/>
              </w:rPr>
              <w:t>устареваний</w:t>
            </w:r>
            <w:proofErr w:type="spellEnd"/>
            <w:r w:rsidRPr="00E1214F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  <w:p w:rsidR="00E1214F" w:rsidRPr="00E1214F" w:rsidRDefault="00E1214F" w:rsidP="00E1214F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drawing>
                <wp:inline distT="0" distB="0" distL="0" distR="0">
                  <wp:extent cx="1897039" cy="237224"/>
                  <wp:effectExtent l="0" t="0" r="0" b="0"/>
                  <wp:docPr id="1" name="Рисунок 1" descr="https://konspekta.net/lektsianew/baza7/1470110443683.files/image0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s://konspekta.net/lektsianew/baza7/1470110443683.files/image08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528" cy="23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4"/>
              <w:gridCol w:w="656"/>
              <w:gridCol w:w="3836"/>
            </w:tblGrid>
            <w:tr w:rsidR="00E1214F" w:rsidRPr="00E1214F" w:rsidTr="003518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214F" w:rsidRPr="00E1214F" w:rsidRDefault="00E1214F" w:rsidP="00E1214F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1214F">
                    <w:rPr>
                      <w:rFonts w:ascii="Verdana" w:eastAsia="Times New Roman" w:hAnsi="Verdana"/>
                      <w:sz w:val="20"/>
                      <w:szCs w:val="20"/>
                    </w:rPr>
                    <w:t>где: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214F" w:rsidRPr="00E1214F" w:rsidRDefault="00E1214F" w:rsidP="00E1214F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1214F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</w:rPr>
                    <w:t>К</w:t>
                  </w:r>
                  <w:r w:rsidRPr="00E1214F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vertAlign w:val="subscript"/>
                    </w:rPr>
                    <w:t>СОВ</w:t>
                  </w:r>
                  <w:r w:rsidRPr="00E1214F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</w:rPr>
                    <w:t xml:space="preserve"> –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214F" w:rsidRPr="00E1214F" w:rsidRDefault="00E1214F" w:rsidP="00E1214F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1214F">
                    <w:rPr>
                      <w:rFonts w:ascii="Verdana" w:eastAsia="Times New Roman" w:hAnsi="Verdana"/>
                      <w:sz w:val="20"/>
                      <w:szCs w:val="20"/>
                    </w:rPr>
                    <w:t>коэффициент совокупного износа, доли ед.;</w:t>
                  </w:r>
                </w:p>
              </w:tc>
            </w:tr>
            <w:tr w:rsidR="00E1214F" w:rsidRPr="00E1214F" w:rsidTr="003518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214F" w:rsidRPr="00E1214F" w:rsidRDefault="00E1214F" w:rsidP="00E1214F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214F" w:rsidRPr="00E1214F" w:rsidRDefault="00E1214F" w:rsidP="00E1214F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1214F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</w:rPr>
                    <w:t>К</w:t>
                  </w:r>
                  <w:r w:rsidRPr="00E1214F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vertAlign w:val="subscript"/>
                    </w:rPr>
                    <w:t>ФИЗ</w:t>
                  </w:r>
                  <w:r w:rsidRPr="00E1214F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</w:rPr>
                    <w:t xml:space="preserve"> –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214F" w:rsidRPr="00E1214F" w:rsidRDefault="00E1214F" w:rsidP="00E1214F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1214F">
                    <w:rPr>
                      <w:rFonts w:ascii="Verdana" w:eastAsia="Times New Roman" w:hAnsi="Verdana"/>
                      <w:sz w:val="20"/>
                      <w:szCs w:val="20"/>
                    </w:rPr>
                    <w:t>коэффициент физического износа, доли ед.;</w:t>
                  </w:r>
                </w:p>
              </w:tc>
            </w:tr>
            <w:tr w:rsidR="00E1214F" w:rsidRPr="00E1214F" w:rsidTr="003518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214F" w:rsidRPr="00E1214F" w:rsidRDefault="00E1214F" w:rsidP="00E1214F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214F" w:rsidRPr="00E1214F" w:rsidRDefault="00E1214F" w:rsidP="00E1214F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1214F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</w:rPr>
                    <w:t>К</w:t>
                  </w:r>
                  <w:r w:rsidRPr="00E1214F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vertAlign w:val="subscript"/>
                    </w:rPr>
                    <w:t xml:space="preserve">ФУНК </w:t>
                  </w:r>
                  <w:r w:rsidRPr="00E1214F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214F" w:rsidRPr="00E1214F" w:rsidRDefault="00E1214F" w:rsidP="00E1214F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1214F">
                    <w:rPr>
                      <w:rFonts w:ascii="Verdana" w:eastAsia="Times New Roman" w:hAnsi="Verdana"/>
                      <w:sz w:val="20"/>
                      <w:szCs w:val="20"/>
                    </w:rPr>
                    <w:t>коэффициент функционального устаревания, доли ед.;</w:t>
                  </w:r>
                </w:p>
              </w:tc>
            </w:tr>
            <w:tr w:rsidR="00E1214F" w:rsidRPr="00E1214F" w:rsidTr="0035183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214F" w:rsidRPr="00E1214F" w:rsidRDefault="00E1214F" w:rsidP="00E1214F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214F" w:rsidRPr="00E1214F" w:rsidRDefault="00E1214F" w:rsidP="00E1214F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1214F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</w:rPr>
                    <w:t>К</w:t>
                  </w:r>
                  <w:r w:rsidRPr="00E1214F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vertAlign w:val="subscript"/>
                    </w:rPr>
                    <w:t>ЭК</w:t>
                  </w:r>
                  <w:r w:rsidRPr="00E1214F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</w:rPr>
                    <w:t xml:space="preserve"> –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214F" w:rsidRPr="00E1214F" w:rsidRDefault="00E1214F" w:rsidP="00E1214F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E1214F">
                    <w:rPr>
                      <w:rFonts w:ascii="Verdana" w:eastAsia="Times New Roman" w:hAnsi="Verdana"/>
                      <w:sz w:val="20"/>
                      <w:szCs w:val="20"/>
                    </w:rPr>
                    <w:t>коэффициент экономического устаревания, доли ед.</w:t>
                  </w:r>
                </w:p>
              </w:tc>
            </w:tr>
          </w:tbl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Модель подразумевает, что износ и устаревания действуют независимо и снижают полную стоимость на соответствующий процент.</w:t>
            </w:r>
          </w:p>
        </w:tc>
      </w:tr>
      <w:tr w:rsidR="00E1214F" w:rsidRPr="00E1214F" w:rsidTr="00E1214F">
        <w:tc>
          <w:tcPr>
            <w:tcW w:w="2301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Мультипликативная модель расчета совокупного износа и </w:t>
            </w:r>
            <w:proofErr w:type="spellStart"/>
            <w:r w:rsidRPr="00E1214F">
              <w:rPr>
                <w:rFonts w:ascii="Verdana" w:eastAsia="Times New Roman" w:hAnsi="Verdana" w:cs="Times New Roman"/>
                <w:sz w:val="20"/>
                <w:szCs w:val="20"/>
              </w:rPr>
              <w:t>устареваний</w:t>
            </w:r>
            <w:proofErr w:type="spellEnd"/>
          </w:p>
        </w:tc>
        <w:tc>
          <w:tcPr>
            <w:tcW w:w="5212" w:type="dxa"/>
          </w:tcPr>
          <w:p w:rsidR="00E1214F" w:rsidRPr="00E1214F" w:rsidRDefault="00E1214F" w:rsidP="00E1214F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sz w:val="20"/>
                <w:szCs w:val="20"/>
              </w:rPr>
              <w:t xml:space="preserve">– модель расчета совокупного износа и </w:t>
            </w:r>
            <w:proofErr w:type="spellStart"/>
            <w:r w:rsidRPr="00E1214F">
              <w:rPr>
                <w:rFonts w:ascii="Verdana" w:eastAsia="Times New Roman" w:hAnsi="Verdana" w:cs="Times New Roman"/>
                <w:sz w:val="20"/>
                <w:szCs w:val="20"/>
              </w:rPr>
              <w:t>устареваний</w:t>
            </w:r>
            <w:proofErr w:type="spellEnd"/>
            <w:r w:rsidRPr="00E1214F">
              <w:rPr>
                <w:rFonts w:ascii="Verdana" w:eastAsia="Times New Roman" w:hAnsi="Verdana" w:cs="Times New Roman"/>
                <w:sz w:val="20"/>
                <w:szCs w:val="20"/>
              </w:rPr>
              <w:t>, подразумевающая, что износ и устаревания оказывают взаимное влияние на базу начисления друг друга.</w:t>
            </w:r>
          </w:p>
          <w:p w:rsidR="00E1214F" w:rsidRPr="00E1214F" w:rsidRDefault="00E1214F" w:rsidP="00E1214F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drawing>
                <wp:inline distT="0" distB="0" distL="0" distR="0">
                  <wp:extent cx="2982036" cy="229873"/>
                  <wp:effectExtent l="0" t="0" r="8890" b="0"/>
                  <wp:docPr id="2" name="Рисунок 2" descr="https://konspekta.net/lektsianew/baza7/1470110443683.files/image0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s://konspekta.net/lektsianew/baza7/1470110443683.files/image0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0662" cy="2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1214F" w:rsidRPr="00E1214F" w:rsidTr="00E1214F">
        <w:tc>
          <w:tcPr>
            <w:tcW w:w="2301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E1214F">
              <w:rPr>
                <w:rFonts w:ascii="Verdana" w:hAnsi="Verdana" w:cs="Times New Roman"/>
                <w:sz w:val="20"/>
                <w:szCs w:val="20"/>
              </w:rPr>
              <w:t>Валовый</w:t>
            </w:r>
            <w:proofErr w:type="spellEnd"/>
            <w:r w:rsidRPr="00E1214F">
              <w:rPr>
                <w:rFonts w:ascii="Verdana" w:hAnsi="Verdana" w:cs="Times New Roman"/>
                <w:sz w:val="20"/>
                <w:szCs w:val="20"/>
              </w:rPr>
              <w:t xml:space="preserve"> рентный множитель (мультипликатор)</w:t>
            </w:r>
          </w:p>
        </w:tc>
        <w:tc>
          <w:tcPr>
            <w:tcW w:w="5212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sz w:val="20"/>
                <w:szCs w:val="20"/>
              </w:rPr>
              <w:t>Отношение цены продажи или к потенциальному валовому доходу (ПВД), или к действительному валовому доходу (ДВД).</w:t>
            </w:r>
          </w:p>
        </w:tc>
        <w:tc>
          <w:tcPr>
            <w:tcW w:w="2693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1214F" w:rsidRPr="00E1214F" w:rsidTr="00E1214F">
        <w:tc>
          <w:tcPr>
            <w:tcW w:w="2301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Коэффициент торможения</w:t>
            </w:r>
          </w:p>
        </w:tc>
        <w:tc>
          <w:tcPr>
            <w:tcW w:w="5212" w:type="dxa"/>
          </w:tcPr>
          <w:p w:rsidR="00E1214F" w:rsidRPr="00E1214F" w:rsidRDefault="00E1214F" w:rsidP="00E1214F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b</m:t>
              </m:r>
              <m:r>
                <w:rPr>
                  <w:rFonts w:ascii="Cambria Math" w:hAnsi="Verdana" w:cs="Times New Roman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Verdana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ln</m:t>
                  </m:r>
                  <m:r>
                    <w:rPr>
                      <w:rFonts w:ascii="Cambria Math" w:hAnsi="Verdana" w:cs="Times New Roman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Verdana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Verdana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Verdana" w:cs="Times New Roman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Verdana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Verdana" w:cs="Times New Roman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Verdana" w:cs="Times New Roman"/>
                      <w:sz w:val="20"/>
                      <w:szCs w:val="20"/>
                    </w:rPr>
                    <m:t>)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ln</m:t>
                  </m:r>
                  <m:r>
                    <w:rPr>
                      <w:rFonts w:ascii="Cambria Math" w:hAnsi="Verdana" w:cs="Times New Roman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Verdana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Verdana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Verdana" w:cs="Times New Roman"/>
                              <w:sz w:val="20"/>
                              <w:szCs w:val="20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Verdana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Verdana" w:cs="Times New Roman"/>
                              <w:sz w:val="20"/>
                              <w:szCs w:val="20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Verdana" w:cs="Times New Roman"/>
                      <w:sz w:val="20"/>
                      <w:szCs w:val="20"/>
                    </w:rPr>
                    <m:t>)</m:t>
                  </m:r>
                </m:den>
              </m:f>
            </m:oMath>
            <w:r w:rsidRPr="00E1214F">
              <w:rPr>
                <w:rFonts w:ascii="Verdana" w:eastAsia="Times New Roman" w:hAnsi="Verdana" w:cs="Times New Roman"/>
                <w:sz w:val="20"/>
                <w:szCs w:val="20"/>
              </w:rPr>
              <w:t>, где</w:t>
            </w:r>
          </w:p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b</m:t>
              </m:r>
            </m:oMath>
            <w:r w:rsidRPr="00E1214F">
              <w:rPr>
                <w:rFonts w:ascii="Verdana" w:hAnsi="Verdana" w:cs="Times New Roman"/>
                <w:sz w:val="20"/>
                <w:szCs w:val="20"/>
              </w:rPr>
              <w:t xml:space="preserve"> – </w:t>
            </w:r>
            <w:r w:rsidRPr="00E1214F">
              <w:rPr>
                <w:rFonts w:ascii="Verdana" w:eastAsiaTheme="minorEastAsia" w:hAnsi="Verdana" w:cs="Times New Roman"/>
                <w:sz w:val="20"/>
                <w:szCs w:val="20"/>
              </w:rPr>
              <w:t>коэффициент торможения;</w:t>
            </w:r>
          </w:p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Verdana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Verdana" w:cs="Times New Roman"/>
                      <w:sz w:val="20"/>
                      <w:szCs w:val="20"/>
                    </w:rPr>
                    <m:t>1</m:t>
                  </m:r>
                </m:sub>
              </m:sSub>
            </m:oMath>
            <w:r w:rsidRPr="00E1214F">
              <w:rPr>
                <w:rFonts w:ascii="Verdana" w:hAnsi="Verdana" w:cs="Times New Roman"/>
                <w:sz w:val="20"/>
                <w:szCs w:val="20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hAnsi="Verdana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Verdana" w:cs="Times New Roman"/>
                      <w:sz w:val="20"/>
                      <w:szCs w:val="20"/>
                    </w:rPr>
                    <m:t>2</m:t>
                  </m:r>
                </m:sub>
              </m:sSub>
            </m:oMath>
            <w:r w:rsidRPr="00E1214F">
              <w:rPr>
                <w:rFonts w:ascii="Verdana" w:hAnsi="Verdana" w:cs="Times New Roman"/>
                <w:sz w:val="20"/>
                <w:szCs w:val="20"/>
              </w:rPr>
              <w:t xml:space="preserve">- </w:t>
            </w:r>
            <w:r w:rsidRPr="00E1214F">
              <w:rPr>
                <w:rFonts w:ascii="Verdana" w:eastAsiaTheme="minorEastAsia" w:hAnsi="Verdana" w:cs="Times New Roman"/>
                <w:sz w:val="20"/>
                <w:szCs w:val="20"/>
              </w:rPr>
              <w:t>стоимости первого и второго объектов-аналогов;</w:t>
            </w:r>
          </w:p>
          <w:p w:rsidR="00E1214F" w:rsidRPr="00E1214F" w:rsidRDefault="00E1214F" w:rsidP="00E1214F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Verdana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hAnsi="Verdana" w:cs="Times New Roman"/>
                      <w:sz w:val="20"/>
                      <w:szCs w:val="20"/>
                    </w:rPr>
                    <m:t>1</m:t>
                  </m:r>
                </m:sub>
              </m:sSub>
            </m:oMath>
            <w:r w:rsidRPr="00E1214F">
              <w:rPr>
                <w:rFonts w:ascii="Verdana" w:hAnsi="Verdana" w:cs="Times New Roman"/>
                <w:sz w:val="20"/>
                <w:szCs w:val="20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hAnsi="Verdana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b>
                  <m:r>
                    <w:rPr>
                      <w:rFonts w:ascii="Cambria Math" w:hAnsi="Verdana" w:cs="Times New Roman"/>
                      <w:sz w:val="20"/>
                      <w:szCs w:val="20"/>
                    </w:rPr>
                    <m:t>2</m:t>
                  </m:r>
                </m:sub>
              </m:sSub>
            </m:oMath>
            <w:r w:rsidRPr="00E1214F">
              <w:rPr>
                <w:rFonts w:ascii="Verdana" w:hAnsi="Verdana" w:cs="Times New Roman"/>
                <w:sz w:val="20"/>
                <w:szCs w:val="20"/>
              </w:rPr>
              <w:t xml:space="preserve"> – </w:t>
            </w:r>
            <w:proofErr w:type="spellStart"/>
            <w:r w:rsidRPr="00E1214F">
              <w:rPr>
                <w:rFonts w:ascii="Verdana" w:eastAsiaTheme="minorEastAsia" w:hAnsi="Verdana" w:cs="Times New Roman"/>
                <w:sz w:val="20"/>
                <w:szCs w:val="20"/>
              </w:rPr>
              <w:t>ценообразующие</w:t>
            </w:r>
            <w:proofErr w:type="spellEnd"/>
            <w:r w:rsidRPr="00E1214F">
              <w:rPr>
                <w:rFonts w:ascii="Verdana" w:eastAsiaTheme="minorEastAsia" w:hAnsi="Verdana" w:cs="Times New Roman"/>
                <w:sz w:val="20"/>
                <w:szCs w:val="20"/>
              </w:rPr>
              <w:t xml:space="preserve"> параметры соответствующих аналогов.</w:t>
            </w:r>
          </w:p>
        </w:tc>
        <w:tc>
          <w:tcPr>
            <w:tcW w:w="2693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Показатель степени, характеризующий силу влияния главного параметра на стоимость объекта</w:t>
            </w:r>
          </w:p>
        </w:tc>
      </w:tr>
      <w:tr w:rsidR="00E1214F" w:rsidRPr="00E1214F" w:rsidTr="00E1214F">
        <w:tc>
          <w:tcPr>
            <w:tcW w:w="2301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Метод </w:t>
            </w:r>
            <w:proofErr w:type="spellStart"/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Инвуда</w:t>
            </w:r>
            <w:proofErr w:type="spellEnd"/>
          </w:p>
        </w:tc>
        <w:tc>
          <w:tcPr>
            <w:tcW w:w="5212" w:type="dxa"/>
          </w:tcPr>
          <w:p w:rsidR="00E1214F" w:rsidRPr="00E1214F" w:rsidRDefault="00E1214F" w:rsidP="00E1214F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</w:rPr>
              <w:t>Норма возврата капитала = SFF(</w:t>
            </w:r>
            <w:proofErr w:type="spellStart"/>
            <w:r w:rsidRPr="00E1214F"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</w:rPr>
              <w:t>n,Y</w:t>
            </w:r>
            <w:proofErr w:type="spellEnd"/>
            <w:r w:rsidRPr="00E1214F"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</w:rPr>
              <w:t xml:space="preserve">) = </w:t>
            </w:r>
            <m:oMath>
              <m:f>
                <m:fPr>
                  <m:type m:val="lin"/>
                  <m:ctrlPr>
                    <w:rPr>
                      <w:rFonts w:ascii="Cambria Math" w:eastAsia="Times New Roman" w:hAnsi="Verdana" w:cs="Times New Roman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Y</m:t>
                  </m:r>
                </m:num>
                <m:den>
                  <m:r>
                    <w:rPr>
                      <w:rFonts w:ascii="Cambria Math" w:eastAsia="Times New Roman" w:hAnsi="Verdana" w:cs="Times New Roman"/>
                      <w:color w:val="000000"/>
                      <w:sz w:val="20"/>
                      <w:szCs w:val="20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Times New Roman" w:hAnsi="Verdana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Verdana" w:cs="Times New Roman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Verdana" w:cs="Times New Roman"/>
                              <w:color w:val="000000"/>
                              <w:sz w:val="20"/>
                              <w:szCs w:val="20"/>
                            </w:rPr>
                            <m:t>1+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</w:rPr>
                            <m:t>Y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n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eastAsia="Times New Roman" w:hAnsi="Verdana" w:cs="Times New Roman"/>
                      <w:color w:val="000000"/>
                      <w:sz w:val="20"/>
                      <w:szCs w:val="20"/>
                    </w:rPr>
                    <m:t>1)</m:t>
                  </m:r>
                </m:den>
              </m:f>
            </m:oMath>
            <w:r w:rsidRPr="00E1214F"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</w:rPr>
              <w:t>,</w:t>
            </w:r>
          </w:p>
          <w:p w:rsidR="00E1214F" w:rsidRPr="00E1214F" w:rsidRDefault="00E1214F" w:rsidP="00E1214F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где</w:t>
            </w:r>
          </w:p>
          <w:p w:rsidR="00E1214F" w:rsidRPr="00E1214F" w:rsidRDefault="00E1214F" w:rsidP="00E1214F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</w:rPr>
              <w:t>Y</w:t>
            </w:r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 требуемая норма доходности инвестиций,</w:t>
            </w:r>
          </w:p>
          <w:p w:rsidR="00E1214F" w:rsidRPr="00E1214F" w:rsidRDefault="00E1214F" w:rsidP="00E1214F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E1214F"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</w:rPr>
              <w:t>n</w:t>
            </w:r>
            <w:proofErr w:type="spellEnd"/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- оставшийся срок экономической жизни.</w:t>
            </w:r>
          </w:p>
        </w:tc>
        <w:tc>
          <w:tcPr>
            <w:tcW w:w="2693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Метод расчета нормы возврата капитала. Для реинвестируемых сре</w:t>
            </w:r>
            <w:proofErr w:type="gramStart"/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дств пр</w:t>
            </w:r>
            <w:proofErr w:type="gramEnd"/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едполагается получение дохода по ставке, равной требуемой норме доходности (норме отдачи) на собственный капитал.</w:t>
            </w:r>
          </w:p>
        </w:tc>
      </w:tr>
      <w:tr w:rsidR="00E1214F" w:rsidRPr="00E1214F" w:rsidTr="00E1214F">
        <w:tc>
          <w:tcPr>
            <w:tcW w:w="2301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Метод Ринга</w:t>
            </w:r>
          </w:p>
        </w:tc>
        <w:tc>
          <w:tcPr>
            <w:tcW w:w="5212" w:type="dxa"/>
          </w:tcPr>
          <w:p w:rsidR="00E1214F" w:rsidRPr="00E1214F" w:rsidRDefault="00E1214F" w:rsidP="00E1214F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</w:rPr>
              <w:t>Норма возврата капитала  =</w:t>
            </w:r>
            <w:r w:rsidRPr="00E1214F"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1/</w:t>
            </w:r>
            <w:proofErr w:type="spellStart"/>
            <w:r w:rsidRPr="00E1214F">
              <w:rPr>
                <w:rFonts w:ascii="Verdana" w:eastAsia="Times New Roman" w:hAnsi="Verdana" w:cs="Times New Roman"/>
                <w:i/>
                <w:sz w:val="20"/>
                <w:szCs w:val="20"/>
              </w:rPr>
              <w:t>n</w:t>
            </w:r>
            <w:proofErr w:type="spellEnd"/>
            <w:r w:rsidRPr="00E1214F">
              <w:rPr>
                <w:rFonts w:ascii="Verdana" w:eastAsia="Times New Roman" w:hAnsi="Verdana" w:cs="Times New Roman"/>
                <w:i/>
                <w:sz w:val="20"/>
                <w:szCs w:val="20"/>
              </w:rPr>
              <w:t>,</w:t>
            </w:r>
          </w:p>
          <w:p w:rsidR="00E1214F" w:rsidRPr="00E1214F" w:rsidRDefault="00E1214F" w:rsidP="00E1214F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sz w:val="20"/>
                <w:szCs w:val="20"/>
              </w:rPr>
              <w:t>где</w:t>
            </w:r>
          </w:p>
          <w:p w:rsidR="00E1214F" w:rsidRPr="00E1214F" w:rsidRDefault="00E1214F" w:rsidP="00E1214F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E1214F">
              <w:rPr>
                <w:rFonts w:ascii="Verdana" w:eastAsia="Times New Roman" w:hAnsi="Verdana" w:cs="Times New Roman"/>
                <w:i/>
                <w:sz w:val="20"/>
                <w:szCs w:val="20"/>
              </w:rPr>
              <w:t>n</w:t>
            </w:r>
            <w:proofErr w:type="spellEnd"/>
            <w:r w:rsidRPr="00E1214F">
              <w:rPr>
                <w:rFonts w:ascii="Verdana" w:eastAsia="Times New Roman" w:hAnsi="Verdana" w:cs="Times New Roman"/>
                <w:sz w:val="20"/>
                <w:szCs w:val="20"/>
              </w:rPr>
              <w:t xml:space="preserve"> - оставшийся срок экономической жизни.</w:t>
            </w:r>
          </w:p>
        </w:tc>
        <w:tc>
          <w:tcPr>
            <w:tcW w:w="2693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sz w:val="20"/>
                <w:szCs w:val="20"/>
              </w:rPr>
              <w:t>Метод расчета нормы возврата капитала. Предусматривается возмещение инвестированного капитала равными суммами.</w:t>
            </w:r>
          </w:p>
        </w:tc>
      </w:tr>
      <w:tr w:rsidR="00E1214F" w:rsidRPr="00E1214F" w:rsidTr="00E1214F">
        <w:tc>
          <w:tcPr>
            <w:tcW w:w="2301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Метод </w:t>
            </w:r>
            <w:proofErr w:type="spellStart"/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Хоскольда</w:t>
            </w:r>
            <w:proofErr w:type="spellEnd"/>
          </w:p>
        </w:tc>
        <w:tc>
          <w:tcPr>
            <w:tcW w:w="5212" w:type="dxa"/>
          </w:tcPr>
          <w:p w:rsidR="00E1214F" w:rsidRPr="00E1214F" w:rsidRDefault="00E1214F" w:rsidP="00E1214F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</w:rPr>
              <w:t>Норма возврата капитала = SFF(</w:t>
            </w:r>
            <w:proofErr w:type="spellStart"/>
            <w:r w:rsidRPr="00E1214F"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</w:rPr>
              <w:t>n,Y</w:t>
            </w:r>
            <w:proofErr w:type="spellEnd"/>
            <w:r w:rsidRPr="00E1214F"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</w:rPr>
              <w:t xml:space="preserve">) = </w:t>
            </w:r>
            <m:oMath>
              <m:f>
                <m:fPr>
                  <m:type m:val="lin"/>
                  <m:ctrlPr>
                    <w:rPr>
                      <w:rFonts w:ascii="Cambria Math" w:eastAsia="Times New Roman" w:hAnsi="Verdana" w:cs="Times New Roman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Yrf</m:t>
                  </m:r>
                </m:num>
                <m:den>
                  <m:r>
                    <w:rPr>
                      <w:rFonts w:ascii="Cambria Math" w:eastAsia="Times New Roman" w:hAnsi="Verdana" w:cs="Times New Roman"/>
                      <w:color w:val="000000"/>
                      <w:sz w:val="20"/>
                      <w:szCs w:val="20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Times New Roman" w:hAnsi="Verdana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Times New Roman" w:hAnsi="Verdana" w:cs="Times New Roman"/>
                              <w:i/>
                              <w:color w:val="000000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Verdana" w:cs="Times New Roman"/>
                              <w:color w:val="000000"/>
                              <w:sz w:val="20"/>
                              <w:szCs w:val="20"/>
                            </w:rPr>
                            <m:t>1+</m:t>
                          </m:r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0"/>
                              <w:szCs w:val="20"/>
                            </w:rPr>
                            <m:t>Yrf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0"/>
                          <w:szCs w:val="20"/>
                        </w:rPr>
                        <m:t>n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eastAsia="Times New Roman" w:hAnsi="Verdana" w:cs="Times New Roman"/>
                      <w:color w:val="000000"/>
                      <w:sz w:val="20"/>
                      <w:szCs w:val="20"/>
                    </w:rPr>
                    <m:t>1)</m:t>
                  </m:r>
                </m:den>
              </m:f>
            </m:oMath>
            <w:r w:rsidRPr="00E1214F"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</w:rPr>
              <w:t>,</w:t>
            </w:r>
          </w:p>
          <w:p w:rsidR="00E1214F" w:rsidRPr="00E1214F" w:rsidRDefault="00E1214F" w:rsidP="00E1214F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где</w:t>
            </w:r>
          </w:p>
          <w:p w:rsidR="00E1214F" w:rsidRPr="00E1214F" w:rsidRDefault="00E1214F" w:rsidP="00E1214F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E1214F"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</w:rPr>
              <w:t>Yrf</w:t>
            </w:r>
            <w:proofErr w:type="spellEnd"/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безрисковая</w:t>
            </w:r>
            <w:proofErr w:type="spellEnd"/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ставка дохода на инвестиции,</w:t>
            </w:r>
          </w:p>
          <w:p w:rsidR="00E1214F" w:rsidRPr="00E1214F" w:rsidRDefault="00E1214F" w:rsidP="00E1214F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E1214F"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</w:rPr>
              <w:t>n</w:t>
            </w:r>
            <w:proofErr w:type="spellEnd"/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- оставшийся срок экономической жизни.</w:t>
            </w:r>
          </w:p>
        </w:tc>
        <w:tc>
          <w:tcPr>
            <w:tcW w:w="2693" w:type="dxa"/>
            <w:vAlign w:val="center"/>
          </w:tcPr>
          <w:p w:rsidR="00E1214F" w:rsidRPr="00E1214F" w:rsidRDefault="00E1214F" w:rsidP="00E1214F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Метод расчета нормы возврата капитала. Для реинвестируемых сре</w:t>
            </w:r>
            <w:proofErr w:type="gramStart"/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дств пр</w:t>
            </w:r>
            <w:proofErr w:type="gramEnd"/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едполагается получение дохода по безрисковой ставке.</w:t>
            </w:r>
          </w:p>
        </w:tc>
      </w:tr>
      <w:tr w:rsidR="00E1214F" w:rsidRPr="00E1214F" w:rsidTr="00E1214F">
        <w:tc>
          <w:tcPr>
            <w:tcW w:w="2301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Премия за низкую ликвидность</w:t>
            </w:r>
          </w:p>
        </w:tc>
        <w:tc>
          <w:tcPr>
            <w:tcW w:w="5212" w:type="dxa"/>
          </w:tcPr>
          <w:p w:rsidR="00E1214F" w:rsidRPr="00E1214F" w:rsidRDefault="00E1214F" w:rsidP="00E1214F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 заданиях квалификационного экзамена рассчитывается по формуле</w:t>
            </w:r>
          </w:p>
          <w:p w:rsidR="00E1214F" w:rsidRPr="00E1214F" w:rsidRDefault="00E1214F" w:rsidP="00E1214F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Times New Roman" w:hAnsi="Verdana" w:cs="Times New Roman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disc</m:t>
                  </m:r>
                </m:num>
                <m:den>
                  <m:r>
                    <w:rPr>
                      <w:rFonts w:ascii="Cambria Math" w:eastAsia="Times New Roman" w:hAnsi="Verdana" w:cs="Times New Roman"/>
                      <w:color w:val="000000"/>
                      <w:sz w:val="20"/>
                      <w:szCs w:val="20"/>
                    </w:rPr>
                    <m:t>12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0"/>
                  <w:szCs w:val="20"/>
                </w:rPr>
                <m:t>*N</m:t>
              </m:r>
            </m:oMath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</w:t>
            </w:r>
          </w:p>
          <w:p w:rsidR="00E1214F" w:rsidRPr="00E1214F" w:rsidRDefault="00E1214F" w:rsidP="00E1214F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E1214F"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</w:rPr>
              <w:t>disc</w:t>
            </w:r>
            <w:proofErr w:type="spellEnd"/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- ставка дисконтирования (годовая),</w:t>
            </w:r>
          </w:p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i/>
                <w:color w:val="000000"/>
                <w:sz w:val="20"/>
                <w:szCs w:val="20"/>
              </w:rPr>
              <w:t xml:space="preserve">N </w:t>
            </w:r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 срок экспозиции объекта на рынке (в месяцах).</w:t>
            </w:r>
          </w:p>
        </w:tc>
        <w:tc>
          <w:tcPr>
            <w:tcW w:w="2693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Премия, учитывающая невозможность незамедлительного возврата вложенных в объект недвижимости инвестиций.</w:t>
            </w:r>
          </w:p>
        </w:tc>
      </w:tr>
      <w:tr w:rsidR="00E1214F" w:rsidRPr="00E1214F" w:rsidTr="00E1214F">
        <w:tc>
          <w:tcPr>
            <w:tcW w:w="2301" w:type="dxa"/>
          </w:tcPr>
          <w:p w:rsidR="00E1214F" w:rsidRPr="00E1214F" w:rsidRDefault="00E1214F" w:rsidP="00E1214F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1214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Стоимость с учетом таможенных платежей</w:t>
            </w:r>
          </w:p>
        </w:tc>
        <w:tc>
          <w:tcPr>
            <w:tcW w:w="5212" w:type="dxa"/>
          </w:tcPr>
          <w:p w:rsidR="00E1214F" w:rsidRPr="00E1214F" w:rsidRDefault="00E1214F" w:rsidP="00E1214F">
            <w:pPr>
              <w:jc w:val="center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</w:pPr>
            <w:r w:rsidRPr="00E1214F">
              <w:rPr>
                <w:rFonts w:ascii="Verdana" w:hAnsi="Verdana" w:cs="Times New Roman"/>
                <w:sz w:val="20"/>
                <w:szCs w:val="20"/>
              </w:rPr>
              <w:t>С =(1+НДС) * (ТС+</w:t>
            </w:r>
            <w:proofErr w:type="gramStart"/>
            <w:r w:rsidRPr="00E1214F">
              <w:rPr>
                <w:rFonts w:ascii="Verdana" w:hAnsi="Verdana" w:cs="Times New Roman"/>
                <w:sz w:val="20"/>
                <w:szCs w:val="20"/>
              </w:rPr>
              <w:t>П</w:t>
            </w:r>
            <w:proofErr w:type="gramEnd"/>
            <w:r w:rsidRPr="00E1214F">
              <w:rPr>
                <w:rFonts w:ascii="Verdana" w:hAnsi="Verdana" w:cs="Times New Roman"/>
                <w:sz w:val="20"/>
                <w:szCs w:val="20"/>
              </w:rPr>
              <w:t xml:space="preserve">+А), где: </w:t>
            </w:r>
            <w:r w:rsidRPr="00E1214F">
              <w:rPr>
                <w:rFonts w:ascii="Verdana" w:hAnsi="Verdana" w:cs="Times New Roman"/>
                <w:sz w:val="20"/>
                <w:szCs w:val="20"/>
              </w:rPr>
              <w:br/>
              <w:t>НДС – ставка НДС;</w:t>
            </w:r>
            <w:r w:rsidRPr="00E1214F">
              <w:rPr>
                <w:rFonts w:ascii="Verdana" w:hAnsi="Verdana" w:cs="Times New Roman"/>
                <w:sz w:val="20"/>
                <w:szCs w:val="20"/>
              </w:rPr>
              <w:br/>
              <w:t>ТС – таможенная стоимость;</w:t>
            </w:r>
            <w:r w:rsidRPr="00E1214F">
              <w:rPr>
                <w:rFonts w:ascii="Verdana" w:hAnsi="Verdana" w:cs="Times New Roman"/>
                <w:sz w:val="20"/>
                <w:szCs w:val="20"/>
              </w:rPr>
              <w:br/>
            </w:r>
            <w:proofErr w:type="gramStart"/>
            <w:r w:rsidRPr="00E1214F">
              <w:rPr>
                <w:rFonts w:ascii="Verdana" w:hAnsi="Verdana" w:cs="Times New Roman"/>
                <w:sz w:val="20"/>
                <w:szCs w:val="20"/>
              </w:rPr>
              <w:t>П</w:t>
            </w:r>
            <w:proofErr w:type="gramEnd"/>
            <w:r w:rsidRPr="00E1214F">
              <w:rPr>
                <w:rFonts w:ascii="Verdana" w:hAnsi="Verdana" w:cs="Times New Roman"/>
                <w:sz w:val="20"/>
                <w:szCs w:val="20"/>
              </w:rPr>
              <w:t xml:space="preserve"> - величина пошлины (в деньгах). Если пошлина считается как процент от ТС, П = </w:t>
            </w:r>
            <w:proofErr w:type="gramStart"/>
            <w:r w:rsidRPr="00E1214F">
              <w:rPr>
                <w:rFonts w:ascii="Verdana" w:hAnsi="Verdana" w:cs="Times New Roman"/>
                <w:sz w:val="20"/>
                <w:szCs w:val="20"/>
              </w:rPr>
              <w:t>П</w:t>
            </w:r>
            <w:proofErr w:type="gramEnd"/>
            <w:r w:rsidRPr="00E1214F">
              <w:rPr>
                <w:rFonts w:ascii="Verdana" w:hAnsi="Verdana" w:cs="Times New Roman"/>
                <w:sz w:val="20"/>
                <w:szCs w:val="20"/>
              </w:rPr>
              <w:t>%*ТС;</w:t>
            </w:r>
            <w:r w:rsidRPr="00E1214F">
              <w:rPr>
                <w:rFonts w:ascii="Verdana" w:hAnsi="Verdana" w:cs="Times New Roman"/>
                <w:sz w:val="20"/>
                <w:szCs w:val="20"/>
              </w:rPr>
              <w:br/>
              <w:t>А - акциз (в деньгах).</w:t>
            </w:r>
          </w:p>
        </w:tc>
        <w:tc>
          <w:tcPr>
            <w:tcW w:w="2693" w:type="dxa"/>
          </w:tcPr>
          <w:p w:rsidR="00E1214F" w:rsidRPr="00E1214F" w:rsidRDefault="00E1214F" w:rsidP="00E1214F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E1214F" w:rsidRPr="00E1214F" w:rsidRDefault="00E1214F" w:rsidP="00E1214F">
      <w:pPr>
        <w:rPr>
          <w:rFonts w:ascii="Verdana" w:hAnsi="Verdana"/>
          <w:sz w:val="20"/>
          <w:szCs w:val="20"/>
        </w:rPr>
      </w:pPr>
    </w:p>
    <w:p w:rsidR="00E1214F" w:rsidRPr="00E1214F" w:rsidRDefault="00E1214F" w:rsidP="00E1214F">
      <w:pPr>
        <w:rPr>
          <w:rFonts w:ascii="Verdana" w:hAnsi="Verdana"/>
          <w:sz w:val="20"/>
          <w:szCs w:val="20"/>
        </w:rPr>
      </w:pPr>
    </w:p>
    <w:p w:rsidR="00E1214F" w:rsidRPr="00E1214F" w:rsidRDefault="00E1214F" w:rsidP="00E1214F">
      <w:pPr>
        <w:rPr>
          <w:rFonts w:ascii="Verdana" w:hAnsi="Verdana"/>
          <w:sz w:val="20"/>
          <w:szCs w:val="20"/>
        </w:rPr>
      </w:pPr>
    </w:p>
    <w:p w:rsidR="00CA0106" w:rsidRPr="00E1214F" w:rsidRDefault="00CA0106" w:rsidP="00E1214F">
      <w:pPr>
        <w:rPr>
          <w:rFonts w:ascii="Verdana" w:hAnsi="Verdana"/>
          <w:sz w:val="20"/>
          <w:szCs w:val="20"/>
        </w:rPr>
      </w:pPr>
    </w:p>
    <w:sectPr w:rsidR="00CA0106" w:rsidRPr="00E1214F" w:rsidSect="009264C5">
      <w:headerReference w:type="default" r:id="rId36"/>
      <w:footerReference w:type="default" r:id="rId37"/>
      <w:pgSz w:w="11906" w:h="16838"/>
      <w:pgMar w:top="2373" w:right="850" w:bottom="1134" w:left="1701" w:header="708" w:footer="4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7EB" w:rsidRDefault="009D27EB" w:rsidP="003D4156">
      <w:r>
        <w:separator/>
      </w:r>
    </w:p>
  </w:endnote>
  <w:endnote w:type="continuationSeparator" w:id="0">
    <w:p w:rsidR="009D27EB" w:rsidRDefault="009D27EB" w:rsidP="003D4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(TT)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iosCond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EB" w:rsidRDefault="009D27EB" w:rsidP="003D4156">
    <w:pPr>
      <w:pStyle w:val="BasicParagraph"/>
      <w:jc w:val="center"/>
      <w:rPr>
        <w:rFonts w:ascii="Verdana" w:hAnsi="Verdana" w:cs="HeliosCond"/>
        <w:bCs/>
        <w:color w:val="626466"/>
        <w:sz w:val="14"/>
        <w:szCs w:val="14"/>
        <w:lang w:val="ru-RU"/>
      </w:rPr>
    </w:pP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Некоммерческое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Cs/>
        <w:color w:val="626466"/>
        <w:sz w:val="14"/>
        <w:szCs w:val="14"/>
        <w:lang w:val="ru-RU"/>
      </w:rPr>
      <w:t>партнерство</w:t>
    </w:r>
    <w:r>
      <w:rPr>
        <w:rFonts w:ascii="Verdana" w:hAnsi="Verdana" w:cs="HeliosCond"/>
        <w:bCs/>
        <w:color w:val="626466"/>
        <w:sz w:val="14"/>
        <w:szCs w:val="14"/>
        <w:lang w:val="ru-RU"/>
      </w:rPr>
      <w:t xml:space="preserve"> </w:t>
    </w:r>
    <w:proofErr w:type="spellStart"/>
    <w:r>
      <w:rPr>
        <w:rFonts w:ascii="Verdana" w:hAnsi="Verdana" w:cs="HeliosCond"/>
        <w:bCs/>
        <w:color w:val="626466"/>
        <w:sz w:val="14"/>
        <w:szCs w:val="14"/>
        <w:lang w:val="ru-RU"/>
      </w:rPr>
      <w:t>Саморегулируемая</w:t>
    </w:r>
    <w:proofErr w:type="spellEnd"/>
    <w:r>
      <w:rPr>
        <w:rFonts w:ascii="Verdana" w:hAnsi="Verdana" w:cs="HeliosCond"/>
        <w:bCs/>
        <w:color w:val="626466"/>
        <w:sz w:val="14"/>
        <w:szCs w:val="14"/>
        <w:lang w:val="ru-RU"/>
      </w:rPr>
      <w:t xml:space="preserve"> организация 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>«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Деловой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Союз</w:t>
    </w:r>
    <w:r w:rsidRPr="003D4156">
      <w:rPr>
        <w:rFonts w:ascii="Verdana" w:hAnsi="Verdana" w:cs="HeliosCond"/>
        <w:b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Оценщиков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»   </w:t>
    </w:r>
  </w:p>
  <w:p w:rsidR="009D27EB" w:rsidRPr="003D4156" w:rsidRDefault="009D27EB" w:rsidP="001E695F">
    <w:pPr>
      <w:pStyle w:val="BasicParagraph"/>
      <w:ind w:left="2124" w:firstLine="708"/>
      <w:rPr>
        <w:rFonts w:ascii="Verdana" w:hAnsi="Verdana" w:cs="HeliosCond"/>
        <w:bCs/>
        <w:color w:val="626466"/>
        <w:sz w:val="14"/>
        <w:szCs w:val="14"/>
        <w:lang w:val="ru-RU"/>
      </w:rPr>
    </w:pP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ОГРН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1107799001310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ИНН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7720286797   </w:t>
    </w:r>
    <w:r w:rsidRPr="003D4156">
      <w:rPr>
        <w:rFonts w:ascii="Verdana" w:hAnsi="Verdana" w:cs="Times New Roman"/>
        <w:b/>
        <w:bCs/>
        <w:color w:val="626466"/>
        <w:sz w:val="14"/>
        <w:szCs w:val="14"/>
        <w:lang w:val="ru-RU"/>
      </w:rPr>
      <w:t>КПП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 xml:space="preserve"> 77</w:t>
    </w:r>
    <w:r>
      <w:rPr>
        <w:rFonts w:ascii="Verdana" w:hAnsi="Verdana" w:cs="HeliosCond"/>
        <w:bCs/>
        <w:color w:val="626466"/>
        <w:sz w:val="14"/>
        <w:szCs w:val="14"/>
        <w:lang w:val="ru-RU"/>
      </w:rPr>
      <w:t>06</w:t>
    </w:r>
    <w:r w:rsidRPr="003D4156">
      <w:rPr>
        <w:rFonts w:ascii="Verdana" w:hAnsi="Verdana" w:cs="HeliosCond"/>
        <w:bCs/>
        <w:color w:val="626466"/>
        <w:sz w:val="14"/>
        <w:szCs w:val="14"/>
        <w:lang w:val="ru-RU"/>
      </w:rPr>
      <w:t>01001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7EB" w:rsidRDefault="009D27EB" w:rsidP="003D4156">
      <w:r>
        <w:separator/>
      </w:r>
    </w:p>
  </w:footnote>
  <w:footnote w:type="continuationSeparator" w:id="0">
    <w:p w:rsidR="009D27EB" w:rsidRDefault="009D27EB" w:rsidP="003D4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EB" w:rsidRDefault="008C1C52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2.4pt;margin-top:14.85pt;width:106.8pt;height:60.75pt;z-index:251656192;mso-width-relative:margin;mso-height-relative:margin" stroked="f">
          <v:textbox style="mso-next-textbox:#_x0000_s2049">
            <w:txbxContent>
              <w:p w:rsidR="009D27EB" w:rsidRPr="00FE2A16" w:rsidRDefault="009D27EB" w:rsidP="009264C5">
                <w:pP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>119180</w:t>
                </w:r>
                <w:r w:rsidRPr="009264C5"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>,</w:t>
                </w:r>
                <w:r w:rsidRPr="00FE2A16"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 </w:t>
                </w:r>
                <w:r w:rsidRPr="009264C5"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>г. Москва,</w:t>
                </w:r>
              </w:p>
              <w:p w:rsidR="009D27EB" w:rsidRPr="00A31376" w:rsidRDefault="009D27EB" w:rsidP="00FE2A16">
                <w:pP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</w:pPr>
                <w:r w:rsidRPr="009264C5"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ул. </w:t>
                </w:r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Большая </w:t>
                </w:r>
                <w:proofErr w:type="spellStart"/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>Якиманка</w:t>
                </w:r>
                <w:proofErr w:type="spellEnd"/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, д. 31, </w:t>
                </w:r>
                <w:proofErr w:type="spellStart"/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>оф</w:t>
                </w:r>
                <w:proofErr w:type="spellEnd"/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>. 205</w:t>
                </w:r>
              </w:p>
              <w:p w:rsidR="009D27EB" w:rsidRDefault="009D27EB" w:rsidP="009264C5"/>
            </w:txbxContent>
          </v:textbox>
        </v:shape>
      </w:pict>
    </w: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margin-left:384.15pt;margin-top:20.3pt;width:0;height:32.25pt;flip:y;z-index:251661312" o:connectortype="straight" strokecolor="red" strokeweight="1pt"/>
      </w:pict>
    </w:r>
    <w:r>
      <w:rPr>
        <w:noProof/>
        <w:lang w:eastAsia="ru-RU"/>
      </w:rPr>
      <w:pict>
        <v:shape id="_x0000_s2054" type="#_x0000_t32" style="position:absolute;margin-left:267.9pt;margin-top:20.3pt;width:0;height:32.25pt;flip:y;z-index:251660288" o:connectortype="straight" strokecolor="red" strokeweight="1pt"/>
      </w:pict>
    </w:r>
    <w:r>
      <w:rPr>
        <w:noProof/>
        <w:lang w:eastAsia="ru-RU"/>
      </w:rPr>
      <w:pict>
        <v:shape id="_x0000_s2053" type="#_x0000_t32" style="position:absolute;margin-left:151.65pt;margin-top:20.3pt;width:0;height:32.25pt;flip:y;z-index:251659264" o:connectortype="straight" strokecolor="red" strokeweight="1pt"/>
      </w:pict>
    </w:r>
    <w:r>
      <w:rPr>
        <w:noProof/>
        <w:lang w:eastAsia="ru-RU"/>
      </w:rPr>
      <w:pict>
        <v:shape id="_x0000_s2052" type="#_x0000_t202" style="position:absolute;margin-left:385.95pt;margin-top:14.85pt;width:118.05pt;height:26.5pt;z-index:251658240;mso-height-percent:200;mso-height-percent:200;mso-width-relative:margin;mso-height-relative:margin" stroked="f">
          <v:textbox style="mso-next-textbox:#_x0000_s2052;mso-fit-shape-to-text:t">
            <w:txbxContent>
              <w:p w:rsidR="009D27EB" w:rsidRPr="009264C5" w:rsidRDefault="009D27EB" w:rsidP="009264C5">
                <w:pPr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</w:pPr>
                <w:proofErr w:type="gramStart"/>
                <w:r w:rsidRPr="009264C5"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>e-mail</w:t>
                </w:r>
                <w:proofErr w:type="gramEnd"/>
                <w:r w:rsidRPr="009264C5"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>:</w:t>
                </w:r>
                <w:r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ab/>
                  <w:t>org@</w:t>
                </w:r>
                <w:r w:rsidRPr="009264C5"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>sro</w:t>
                </w:r>
                <w:r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>dso</w:t>
                </w:r>
                <w:r w:rsidRPr="009264C5"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>.ru</w:t>
                </w:r>
              </w:p>
              <w:p w:rsidR="009D27EB" w:rsidRPr="009264C5" w:rsidRDefault="009D27EB" w:rsidP="009264C5">
                <w:pPr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proofErr w:type="gramStart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web</w:t>
                </w:r>
                <w:proofErr w:type="gramEnd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: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ab/>
                  <w:t>www.</w:t>
                </w:r>
                <w:r w:rsidRPr="0014493C"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 xml:space="preserve"> </w:t>
                </w:r>
                <w:r w:rsidRPr="009264C5"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>sro</w:t>
                </w:r>
                <w:r>
                  <w:rPr>
                    <w:rFonts w:ascii="Tahoma" w:eastAsia="Times New Roman" w:hAnsi="Tahoma" w:cs="Tahoma"/>
                    <w:sz w:val="16"/>
                    <w:szCs w:val="16"/>
                    <w:lang w:val="en-US" w:eastAsia="ru-RU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.ru</w:t>
                </w:r>
              </w:p>
            </w:txbxContent>
          </v:textbox>
        </v:shape>
      </w:pict>
    </w:r>
    <w:r>
      <w:rPr>
        <w:noProof/>
        <w:lang w:eastAsia="ru-RU"/>
      </w:rPr>
      <w:pict>
        <v:shape id="_x0000_s2051" type="#_x0000_t202" style="position:absolute;margin-left:267.9pt;margin-top:14.85pt;width:118.05pt;height:39.95pt;z-index:251657216;mso-height-percent:200;mso-height-percent:200;mso-width-relative:margin;mso-height-relative:margin" stroked="f">
          <v:textbox style="mso-next-textbox:#_x0000_s2051;mso-fit-shape-to-text:t">
            <w:txbxContent>
              <w:p w:rsidR="009D27EB" w:rsidRDefault="009D27EB" w:rsidP="009264C5">
                <w:pP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>тел.:</w:t>
                </w:r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ab/>
                  <w:t>+7 499 230-04-50</w:t>
                </w:r>
              </w:p>
              <w:p w:rsidR="009D27EB" w:rsidRPr="009264C5" w:rsidRDefault="009D27EB" w:rsidP="009264C5">
                <w:pPr>
                  <w:rPr>
                    <w:rFonts w:ascii="Tahoma" w:eastAsia="Times New Roman" w:hAnsi="Tahoma" w:cs="Tahoma"/>
                    <w:sz w:val="16"/>
                    <w:szCs w:val="16"/>
                    <w:lang w:eastAsia="ru-RU"/>
                  </w:rPr>
                </w:pPr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>факс:</w:t>
                </w:r>
                <w:r>
                  <w:rPr>
                    <w:rFonts w:ascii="Tahoma" w:eastAsia="Times New Roman" w:hAnsi="Tahoma" w:cs="Tahoma"/>
                    <w:color w:val="000000"/>
                    <w:sz w:val="16"/>
                    <w:szCs w:val="16"/>
                    <w:lang w:eastAsia="ru-RU"/>
                  </w:rPr>
                  <w:tab/>
                  <w:t>+7 499 230-04-50</w:t>
                </w:r>
              </w:p>
              <w:p w:rsidR="009D27EB" w:rsidRDefault="009D27EB" w:rsidP="009264C5"/>
            </w:txbxContent>
          </v:textbox>
        </v:shape>
      </w:pict>
    </w:r>
    <w:r>
      <w:rPr>
        <w:noProof/>
        <w:lang w:eastAsia="ru-RU"/>
      </w:rPr>
      <w:pict>
        <v:rect id="_x0000_s2056" style="position:absolute;margin-left:124.95pt;margin-top:-9.15pt;width:384pt;height:84.75pt;z-index:251655168" stroked="f"/>
      </w:pict>
    </w:r>
    <w:r w:rsidR="00CA0106">
      <w:rPr>
        <w:noProof/>
        <w:lang w:eastAsia="ru-RU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19050" t="0" r="0" b="0"/>
          <wp:wrapNone/>
          <wp:docPr id="19" name="Рисунок 2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k_dsos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7692"/>
    <w:multiLevelType w:val="hybridMultilevel"/>
    <w:tmpl w:val="85883B90"/>
    <w:lvl w:ilvl="0" w:tplc="91E23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043DCC"/>
    <w:multiLevelType w:val="hybridMultilevel"/>
    <w:tmpl w:val="D862A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D0661"/>
    <w:multiLevelType w:val="hybridMultilevel"/>
    <w:tmpl w:val="B3126F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0843B92"/>
    <w:multiLevelType w:val="hybridMultilevel"/>
    <w:tmpl w:val="0FDE2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C2356"/>
    <w:multiLevelType w:val="hybridMultilevel"/>
    <w:tmpl w:val="5D644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C066E"/>
    <w:multiLevelType w:val="hybridMultilevel"/>
    <w:tmpl w:val="A54E4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5"/>
    <w:lvlOverride w:ilvl="0">
      <w:lvl w:ilvl="0" w:tplc="0419000F">
        <w:start w:val="1"/>
        <w:numFmt w:val="decimal"/>
        <w:lvlText w:val="%1."/>
        <w:lvlJc w:val="left"/>
        <w:pPr>
          <w:ind w:left="720" w:hanging="493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5"/>
    <w:lvlOverride w:ilvl="0">
      <w:lvl w:ilvl="0" w:tplc="0419000F">
        <w:start w:val="1"/>
        <w:numFmt w:val="decimal"/>
        <w:lvlText w:val="%1."/>
        <w:lvlJc w:val="left"/>
        <w:pPr>
          <w:ind w:left="720" w:hanging="493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5"/>
    <w:lvlOverride w:ilvl="0">
      <w:lvl w:ilvl="0" w:tplc="0419000F">
        <w:start w:val="1"/>
        <w:numFmt w:val="decimal"/>
        <w:lvlText w:val="%1."/>
        <w:lvlJc w:val="left"/>
        <w:pPr>
          <w:ind w:left="720" w:hanging="493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5"/>
    <w:lvlOverride w:ilvl="0">
      <w:lvl w:ilvl="0" w:tplc="0419000F">
        <w:start w:val="1"/>
        <w:numFmt w:val="decimal"/>
        <w:lvlText w:val="%1."/>
        <w:lvlJc w:val="left"/>
        <w:pPr>
          <w:ind w:left="720" w:hanging="493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5"/>
        <o:r id="V:Rule5" type="connector" idref="#_x0000_s2054"/>
        <o:r id="V:Rule6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D4156"/>
    <w:rsid w:val="00031876"/>
    <w:rsid w:val="00041CAF"/>
    <w:rsid w:val="00054B0D"/>
    <w:rsid w:val="00074362"/>
    <w:rsid w:val="000901B6"/>
    <w:rsid w:val="000A4E54"/>
    <w:rsid w:val="000B796F"/>
    <w:rsid w:val="000D0911"/>
    <w:rsid w:val="000E1A0A"/>
    <w:rsid w:val="000F664A"/>
    <w:rsid w:val="000F7FED"/>
    <w:rsid w:val="00121259"/>
    <w:rsid w:val="0014493C"/>
    <w:rsid w:val="00154C40"/>
    <w:rsid w:val="0017101C"/>
    <w:rsid w:val="00186A55"/>
    <w:rsid w:val="001D59E1"/>
    <w:rsid w:val="001E695F"/>
    <w:rsid w:val="002025DE"/>
    <w:rsid w:val="00211B98"/>
    <w:rsid w:val="00227F5A"/>
    <w:rsid w:val="00253F16"/>
    <w:rsid w:val="00256CD8"/>
    <w:rsid w:val="00257B47"/>
    <w:rsid w:val="00271B70"/>
    <w:rsid w:val="00295D05"/>
    <w:rsid w:val="002B1A8E"/>
    <w:rsid w:val="002E7797"/>
    <w:rsid w:val="0035456F"/>
    <w:rsid w:val="003B2B88"/>
    <w:rsid w:val="003C72BC"/>
    <w:rsid w:val="003D4156"/>
    <w:rsid w:val="00435135"/>
    <w:rsid w:val="004432DA"/>
    <w:rsid w:val="00480198"/>
    <w:rsid w:val="004839FB"/>
    <w:rsid w:val="004D329E"/>
    <w:rsid w:val="00514F5E"/>
    <w:rsid w:val="00523F43"/>
    <w:rsid w:val="005253AF"/>
    <w:rsid w:val="00540F69"/>
    <w:rsid w:val="00555394"/>
    <w:rsid w:val="005844AF"/>
    <w:rsid w:val="005A6D91"/>
    <w:rsid w:val="005D24D4"/>
    <w:rsid w:val="005E1008"/>
    <w:rsid w:val="00612156"/>
    <w:rsid w:val="00656C42"/>
    <w:rsid w:val="006667A8"/>
    <w:rsid w:val="00694A77"/>
    <w:rsid w:val="006B0E86"/>
    <w:rsid w:val="006F368A"/>
    <w:rsid w:val="00724A20"/>
    <w:rsid w:val="0075217B"/>
    <w:rsid w:val="007E3CF9"/>
    <w:rsid w:val="008143F0"/>
    <w:rsid w:val="008315B6"/>
    <w:rsid w:val="00833E5E"/>
    <w:rsid w:val="00863C25"/>
    <w:rsid w:val="008A0810"/>
    <w:rsid w:val="008C1C52"/>
    <w:rsid w:val="008E36BA"/>
    <w:rsid w:val="00917305"/>
    <w:rsid w:val="009264C5"/>
    <w:rsid w:val="009312E5"/>
    <w:rsid w:val="009441CC"/>
    <w:rsid w:val="009509FF"/>
    <w:rsid w:val="0099407A"/>
    <w:rsid w:val="009D27EB"/>
    <w:rsid w:val="00A07F4E"/>
    <w:rsid w:val="00A31376"/>
    <w:rsid w:val="00A31EBC"/>
    <w:rsid w:val="00A3490E"/>
    <w:rsid w:val="00A366F4"/>
    <w:rsid w:val="00AD267A"/>
    <w:rsid w:val="00AD6B75"/>
    <w:rsid w:val="00B13CA1"/>
    <w:rsid w:val="00B320E2"/>
    <w:rsid w:val="00B51C95"/>
    <w:rsid w:val="00B73635"/>
    <w:rsid w:val="00B94EA2"/>
    <w:rsid w:val="00BA6E9F"/>
    <w:rsid w:val="00BD3A7A"/>
    <w:rsid w:val="00BF7466"/>
    <w:rsid w:val="00C81E68"/>
    <w:rsid w:val="00C959B5"/>
    <w:rsid w:val="00C96D7C"/>
    <w:rsid w:val="00CA0106"/>
    <w:rsid w:val="00CB0BF5"/>
    <w:rsid w:val="00CC7907"/>
    <w:rsid w:val="00D56CF1"/>
    <w:rsid w:val="00D743CE"/>
    <w:rsid w:val="00D84C27"/>
    <w:rsid w:val="00DB4940"/>
    <w:rsid w:val="00DB5681"/>
    <w:rsid w:val="00DC3BD9"/>
    <w:rsid w:val="00DE043B"/>
    <w:rsid w:val="00DF4E77"/>
    <w:rsid w:val="00E1214F"/>
    <w:rsid w:val="00E22B92"/>
    <w:rsid w:val="00E85FEF"/>
    <w:rsid w:val="00E873EB"/>
    <w:rsid w:val="00E9675A"/>
    <w:rsid w:val="00EB3869"/>
    <w:rsid w:val="00EE5262"/>
    <w:rsid w:val="00EF4DA0"/>
    <w:rsid w:val="00F07BA7"/>
    <w:rsid w:val="00F268B9"/>
    <w:rsid w:val="00F40EC7"/>
    <w:rsid w:val="00F5451B"/>
    <w:rsid w:val="00F62569"/>
    <w:rsid w:val="00F75BC5"/>
    <w:rsid w:val="00FE2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7A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1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D41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D41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4156"/>
  </w:style>
  <w:style w:type="paragraph" w:styleId="a7">
    <w:name w:val="footer"/>
    <w:basedOn w:val="a"/>
    <w:link w:val="a8"/>
    <w:uiPriority w:val="99"/>
    <w:unhideWhenUsed/>
    <w:rsid w:val="003D41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4156"/>
  </w:style>
  <w:style w:type="paragraph" w:customStyle="1" w:styleId="BasicParagraph">
    <w:name w:val="[Basic Paragraph]"/>
    <w:basedOn w:val="a"/>
    <w:uiPriority w:val="99"/>
    <w:rsid w:val="003D4156"/>
    <w:pPr>
      <w:autoSpaceDE w:val="0"/>
      <w:autoSpaceDN w:val="0"/>
      <w:adjustRightInd w:val="0"/>
      <w:spacing w:line="288" w:lineRule="auto"/>
      <w:textAlignment w:val="center"/>
    </w:pPr>
    <w:rPr>
      <w:rFonts w:ascii="Times (TT) Roman" w:hAnsi="Times (TT) Roman" w:cs="Times (TT) Roman"/>
      <w:color w:val="000000"/>
      <w:sz w:val="24"/>
      <w:szCs w:val="24"/>
      <w:lang w:val="en-US"/>
    </w:rPr>
  </w:style>
  <w:style w:type="character" w:styleId="a9">
    <w:name w:val="Hyperlink"/>
    <w:uiPriority w:val="99"/>
    <w:unhideWhenUsed/>
    <w:rsid w:val="009264C5"/>
    <w:rPr>
      <w:color w:val="0000FF"/>
      <w:u w:val="single"/>
    </w:rPr>
  </w:style>
  <w:style w:type="paragraph" w:styleId="aa">
    <w:name w:val="List Paragraph"/>
    <w:basedOn w:val="a"/>
    <w:link w:val="ab"/>
    <w:uiPriority w:val="34"/>
    <w:qFormat/>
    <w:rsid w:val="00054B0D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l">
    <w:name w:val="il"/>
    <w:rsid w:val="002025DE"/>
  </w:style>
  <w:style w:type="table" w:styleId="ac">
    <w:name w:val="Table Grid"/>
    <w:basedOn w:val="a1"/>
    <w:uiPriority w:val="59"/>
    <w:rsid w:val="009D27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Абзац списка Знак"/>
    <w:basedOn w:val="a0"/>
    <w:link w:val="aa"/>
    <w:uiPriority w:val="34"/>
    <w:locked/>
    <w:rsid w:val="008315B6"/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+ Полужирный;Курсив"/>
    <w:basedOn w:val="a0"/>
    <w:rsid w:val="00E1214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ae">
    <w:name w:val="Основной текст + Полужирный"/>
    <w:basedOn w:val="a0"/>
    <w:rsid w:val="00E121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pt">
    <w:name w:val="Основной текст + Полужирный;Курсив;Интервал 1 pt"/>
    <w:basedOn w:val="a0"/>
    <w:rsid w:val="00E1214F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19"/>
      <w:szCs w:val="19"/>
    </w:rPr>
  </w:style>
  <w:style w:type="character" w:customStyle="1" w:styleId="8">
    <w:name w:val="Основной текст (8)_"/>
    <w:basedOn w:val="a0"/>
    <w:link w:val="80"/>
    <w:rsid w:val="00E1214F"/>
    <w:rPr>
      <w:rFonts w:ascii="Times New Roman" w:eastAsia="Times New Roman" w:hAnsi="Times New Roman"/>
      <w:sz w:val="19"/>
      <w:szCs w:val="19"/>
      <w:shd w:val="clear" w:color="auto" w:fill="FFFFFF"/>
      <w:lang w:val="en-US"/>
    </w:rPr>
  </w:style>
  <w:style w:type="character" w:customStyle="1" w:styleId="81pt">
    <w:name w:val="Основной текст (8) + Интервал 1 pt"/>
    <w:basedOn w:val="8"/>
    <w:rsid w:val="00E1214F"/>
    <w:rPr>
      <w:spacing w:val="20"/>
    </w:rPr>
  </w:style>
  <w:style w:type="character" w:customStyle="1" w:styleId="81">
    <w:name w:val="Основной текст (8) + Не полужирный;Не курсив"/>
    <w:basedOn w:val="8"/>
    <w:rsid w:val="00E1214F"/>
    <w:rPr>
      <w:b/>
      <w:bCs/>
      <w:i/>
      <w:iCs/>
    </w:rPr>
  </w:style>
  <w:style w:type="character" w:customStyle="1" w:styleId="695pt">
    <w:name w:val="Основной текст (6) + 9;5 pt;Не полужирный;Курсив"/>
    <w:basedOn w:val="a0"/>
    <w:rsid w:val="00E1214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lang w:val="en-US"/>
    </w:rPr>
  </w:style>
  <w:style w:type="paragraph" w:customStyle="1" w:styleId="80">
    <w:name w:val="Основной текст (8)"/>
    <w:basedOn w:val="a"/>
    <w:link w:val="8"/>
    <w:rsid w:val="00E1214F"/>
    <w:pPr>
      <w:shd w:val="clear" w:color="auto" w:fill="FFFFFF"/>
      <w:spacing w:before="120" w:after="120" w:line="0" w:lineRule="atLeast"/>
    </w:pPr>
    <w:rPr>
      <w:rFonts w:ascii="Times New Roman" w:eastAsia="Times New Roman" w:hAnsi="Times New Roman"/>
      <w:sz w:val="19"/>
      <w:szCs w:val="19"/>
      <w:lang w:val="en-US" w:eastAsia="ru-RU"/>
    </w:rPr>
  </w:style>
  <w:style w:type="character" w:customStyle="1" w:styleId="af">
    <w:name w:val="Основной текст_"/>
    <w:basedOn w:val="a0"/>
    <w:link w:val="2"/>
    <w:rsid w:val="00E1214F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695pt0">
    <w:name w:val="Основной текст (6) + 9;5 pt;Курсив"/>
    <w:basedOn w:val="a0"/>
    <w:rsid w:val="00E121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paragraph" w:customStyle="1" w:styleId="2">
    <w:name w:val="Основной текст2"/>
    <w:basedOn w:val="a"/>
    <w:link w:val="af"/>
    <w:rsid w:val="00E1214F"/>
    <w:pPr>
      <w:shd w:val="clear" w:color="auto" w:fill="FFFFFF"/>
      <w:spacing w:before="120" w:line="245" w:lineRule="exact"/>
      <w:ind w:hanging="300"/>
      <w:jc w:val="both"/>
    </w:pPr>
    <w:rPr>
      <w:rFonts w:ascii="Times New Roman" w:eastAsia="Times New Roman" w:hAnsi="Times New Roman"/>
      <w:sz w:val="19"/>
      <w:szCs w:val="19"/>
      <w:lang w:eastAsia="ru-RU"/>
    </w:rPr>
  </w:style>
  <w:style w:type="character" w:customStyle="1" w:styleId="af0">
    <w:name w:val="Основной текст + Курсив"/>
    <w:basedOn w:val="af"/>
    <w:rsid w:val="00E1214F"/>
    <w:rPr>
      <w:rFonts w:cs="Times New Roman"/>
      <w:b w:val="0"/>
      <w:bCs w:val="0"/>
      <w:i/>
      <w:iCs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4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5394</CharactersWithSpaces>
  <SharedDoc>false</SharedDoc>
  <HLinks>
    <vt:vector size="6" baseType="variant">
      <vt:variant>
        <vt:i4>4456490</vt:i4>
      </vt:variant>
      <vt:variant>
        <vt:i4>0</vt:i4>
      </vt:variant>
      <vt:variant>
        <vt:i4>0</vt:i4>
      </vt:variant>
      <vt:variant>
        <vt:i4>5</vt:i4>
      </vt:variant>
      <vt:variant>
        <vt:lpwstr>mailto:e.tsarkova@srodso.ru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ПОЛИТБЮРО</cp:lastModifiedBy>
  <cp:revision>2</cp:revision>
  <cp:lastPrinted>2017-10-05T12:23:00Z</cp:lastPrinted>
  <dcterms:created xsi:type="dcterms:W3CDTF">2017-11-25T14:32:00Z</dcterms:created>
  <dcterms:modified xsi:type="dcterms:W3CDTF">2017-11-25T14:32:00Z</dcterms:modified>
</cp:coreProperties>
</file>