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C894" w14:textId="77777777" w:rsidR="00D67415" w:rsidRDefault="00D67415" w:rsidP="00D67415">
      <w:pPr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>НП СРО «ДСО»,  в соответствии  с ФЗ №-135 ФЗ РФ от 29</w:t>
      </w:r>
      <w:r>
        <w:rPr>
          <w:rFonts w:ascii="Verdana" w:hAnsi="Verdana"/>
          <w:color w:val="000000"/>
          <w:sz w:val="17"/>
          <w:szCs w:val="17"/>
          <w:lang w:val="en-US"/>
        </w:rPr>
        <w:t> </w:t>
      </w:r>
      <w:r>
        <w:rPr>
          <w:rFonts w:ascii="Verdana" w:hAnsi="Verdana"/>
          <w:color w:val="000000"/>
          <w:sz w:val="17"/>
          <w:szCs w:val="17"/>
        </w:rPr>
        <w:t>июля</w:t>
      </w:r>
      <w:r>
        <w:rPr>
          <w:rFonts w:ascii="Verdana" w:hAnsi="Verdana"/>
          <w:color w:val="000000"/>
          <w:sz w:val="17"/>
          <w:szCs w:val="17"/>
          <w:lang w:val="en-US"/>
        </w:rPr>
        <w:t> </w:t>
      </w:r>
      <w:r>
        <w:rPr>
          <w:rFonts w:ascii="Verdana" w:hAnsi="Verdana"/>
          <w:color w:val="000000"/>
          <w:sz w:val="17"/>
          <w:szCs w:val="17"/>
        </w:rPr>
        <w:t>1998</w:t>
      </w:r>
      <w:r>
        <w:rPr>
          <w:rFonts w:ascii="Verdana" w:hAnsi="Verdana"/>
          <w:color w:val="000000"/>
          <w:sz w:val="17"/>
          <w:szCs w:val="17"/>
          <w:lang w:val="en-US"/>
        </w:rPr>
        <w:t> </w:t>
      </w:r>
      <w:r>
        <w:rPr>
          <w:rFonts w:ascii="Verdana" w:hAnsi="Verdana"/>
          <w:color w:val="000000"/>
          <w:sz w:val="17"/>
          <w:szCs w:val="17"/>
        </w:rPr>
        <w:t>года, в качестве способа обеспечения ответственности членов саморегулируемой организации перед потребителями произведенных ими товаров (работ, услуг) сформировало компенсационный фонд в размере, установленном действующим законодательством Российской Федерации, а также обеспечило страхование профессиональной ответственности каждого члена НП СРО «ДСО» не менее чем на 300 000 рублей.</w:t>
      </w:r>
    </w:p>
    <w:p w14:paraId="1C70C603" w14:textId="77777777" w:rsidR="00D67415" w:rsidRDefault="00D67415" w:rsidP="00D67415">
      <w:pPr>
        <w:pStyle w:val="3"/>
        <w:spacing w:before="0" w:beforeAutospacing="0" w:after="105" w:afterAutospacing="0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br/>
        <w:t>О порядке размещения средств компенсационного фонда в целях их сохранения и прироста, направления их размещения</w:t>
      </w:r>
    </w:p>
    <w:p w14:paraId="2D691877" w14:textId="12C3CA01" w:rsidR="00D67415" w:rsidRDefault="00D67415" w:rsidP="00D67415">
      <w:pPr>
        <w:jc w:val="both"/>
        <w:rPr>
          <w:rStyle w:val="a3"/>
          <w:rFonts w:ascii="Verdana" w:hAnsi="Verdana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Инвестиционная декларация </w:t>
      </w:r>
      <w:hyperlink r:id="rId4" w:history="1">
        <w:r>
          <w:rPr>
            <w:rStyle w:val="a3"/>
            <w:rFonts w:ascii="Verdana" w:hAnsi="Verdana"/>
            <w:sz w:val="17"/>
            <w:szCs w:val="17"/>
          </w:rPr>
          <w:t>(скача</w:t>
        </w:r>
        <w:r>
          <w:rPr>
            <w:rStyle w:val="a3"/>
            <w:rFonts w:ascii="Verdana" w:hAnsi="Verdana"/>
            <w:sz w:val="17"/>
            <w:szCs w:val="17"/>
          </w:rPr>
          <w:t>т</w:t>
        </w:r>
        <w:r>
          <w:rPr>
            <w:rStyle w:val="a3"/>
            <w:rFonts w:ascii="Verdana" w:hAnsi="Verdana"/>
            <w:sz w:val="17"/>
            <w:szCs w:val="17"/>
          </w:rPr>
          <w:t>ь).</w:t>
        </w:r>
      </w:hyperlink>
    </w:p>
    <w:p w14:paraId="2501420A" w14:textId="77777777" w:rsidR="00D67415" w:rsidRDefault="00D67415" w:rsidP="00D67415">
      <w:pPr>
        <w:pStyle w:val="3"/>
        <w:spacing w:before="0" w:beforeAutospacing="0" w:after="105" w:afterAutospacing="0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Информация об управляющей компании</w:t>
      </w:r>
    </w:p>
    <w:p w14:paraId="4EF94BA3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В соответствии с требованиями действующего законодательства Российской Федерации НП СРО «ДСО» заключен договор доверительного управления средствами компенсационного фонда Партнерства с компанией ООО "Управляющая компания ВЕЛЕС Менеджмент" Д.У.</w:t>
      </w:r>
    </w:p>
    <w:p w14:paraId="4CD79DE1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ООО "Управляющая компания ВЕЛЕС Менеджмент" Д.У.,</w:t>
      </w:r>
    </w:p>
    <w:p w14:paraId="06D0AFA3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N </w:t>
      </w:r>
      <w:r w:rsidRPr="00BF2922">
        <w:rPr>
          <w:rFonts w:ascii="Verdana" w:eastAsiaTheme="minorHAnsi" w:hAnsi="Verdana" w:cstheme="minorBidi"/>
          <w:sz w:val="17"/>
          <w:szCs w:val="17"/>
          <w:lang w:eastAsia="en-US"/>
        </w:rPr>
        <w:t>21-000-1-00656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 от 15.09.2009 г.</w:t>
      </w:r>
    </w:p>
    <w:p w14:paraId="0EEEAD1A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Лицензия профессионального участника рынка ценных бумаг № </w:t>
      </w:r>
      <w:r w:rsidRPr="00BF2922">
        <w:rPr>
          <w:rFonts w:ascii="Verdana" w:eastAsiaTheme="minorHAnsi" w:hAnsi="Verdana" w:cstheme="minorBidi"/>
          <w:sz w:val="17"/>
          <w:szCs w:val="17"/>
          <w:lang w:eastAsia="en-US"/>
        </w:rPr>
        <w:t>045-14068-001000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 от 25.10.2018 г.</w:t>
      </w:r>
    </w:p>
    <w:p w14:paraId="75736A5A" w14:textId="5C2A5C12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Адрес: 123610, г. Москва, вн. тер. г. </w:t>
      </w:r>
      <w:r w:rsidRPr="00BF2922">
        <w:rPr>
          <w:rFonts w:ascii="Verdana" w:eastAsiaTheme="minorHAnsi" w:hAnsi="Verdana" w:cstheme="minorBidi"/>
          <w:sz w:val="17"/>
          <w:szCs w:val="17"/>
          <w:lang w:eastAsia="en-US"/>
        </w:rPr>
        <w:t>Муниципальный округ Пресненский, Краснопресненская</w:t>
      </w:r>
      <w:r>
        <w:rPr>
          <w:rFonts w:ascii="Verdana" w:eastAsiaTheme="minorHAnsi" w:hAnsi="Verdana" w:cstheme="minorBidi"/>
          <w:sz w:val="17"/>
          <w:szCs w:val="17"/>
          <w:lang w:eastAsia="en-US"/>
        </w:rPr>
        <w:t xml:space="preserve"> </w:t>
      </w:r>
      <w:r w:rsidRPr="00BF2922">
        <w:rPr>
          <w:rFonts w:ascii="Verdana" w:eastAsiaTheme="minorHAnsi" w:hAnsi="Verdana" w:cstheme="minorBidi"/>
          <w:sz w:val="17"/>
          <w:szCs w:val="17"/>
          <w:lang w:eastAsia="en-US"/>
        </w:rPr>
        <w:t>набережная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, д.12, подъезд 7, помещение Iаж, этаж 14, комнаты 40, 42, 43, 44.</w:t>
      </w:r>
    </w:p>
    <w:p w14:paraId="67C3E977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Телефоны: +7 </w:t>
      </w:r>
      <w:r w:rsidRPr="00BF2922">
        <w:rPr>
          <w:rFonts w:ascii="Verdana" w:eastAsiaTheme="minorHAnsi" w:hAnsi="Verdana" w:cstheme="minorBidi"/>
          <w:sz w:val="17"/>
          <w:szCs w:val="17"/>
          <w:lang w:eastAsia="en-US"/>
        </w:rPr>
        <w:t>(495) 967-09-13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 </w:t>
      </w:r>
    </w:p>
    <w:p w14:paraId="61E07449" w14:textId="77777777" w:rsidR="00BF2922" w:rsidRDefault="00BF2922" w:rsidP="00BF2922">
      <w:pPr>
        <w:pStyle w:val="3"/>
        <w:shd w:val="clear" w:color="auto" w:fill="FFFFFF"/>
        <w:spacing w:before="0" w:beforeAutospacing="0" w:after="105" w:afterAutospacing="0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Информация о специализированном депозитарии</w:t>
      </w:r>
    </w:p>
    <w:p w14:paraId="7ADA1099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В соответствии с требованиями действующего законодательства Российской Федерации НП СРО «ДСО» заключен договор с ООО «СДК «Гарант».</w:t>
      </w:r>
    </w:p>
    <w:p w14:paraId="2E41A738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ООО «СДК «Гарант»</w:t>
      </w:r>
    </w:p>
    <w:p w14:paraId="27B8CFEF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Лицензия на осуществление депозитарной деятельности №</w:t>
      </w:r>
      <w:r w:rsidRPr="00E634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177-06414-000100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 от 26.09.2003 г.</w:t>
      </w:r>
    </w:p>
    <w:p w14:paraId="448AF09F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Лицензия на осуществление деятельности СД ИФ, ПИФ и НПФ №</w:t>
      </w:r>
      <w:r w:rsidRPr="00E634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22-000-00010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 от 27.09.2000 г.</w:t>
      </w:r>
    </w:p>
    <w:p w14:paraId="5FC113B7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Адрес: </w:t>
      </w:r>
      <w:r w:rsidRPr="00E634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115162, Россия, Москва, Краснопресненская наб., д. 8</w:t>
      </w:r>
    </w:p>
    <w:p w14:paraId="0D1E460D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Телефоны: +7 (495) 777-56-83</w:t>
      </w:r>
    </w:p>
    <w:p w14:paraId="7AEE2C2C" w14:textId="77777777" w:rsidR="00BF2922" w:rsidRDefault="00BF2922" w:rsidP="00BF2922">
      <w:pPr>
        <w:pStyle w:val="3"/>
        <w:shd w:val="clear" w:color="auto" w:fill="FFFFFF"/>
        <w:spacing w:before="0" w:beforeAutospacing="0" w:after="105" w:afterAutospacing="0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Информация о составе и стоимости имущества компенсационного фонда</w:t>
      </w:r>
    </w:p>
    <w:p w14:paraId="1E21911E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jc w:val="both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Состав имущества компенсационного фонда устанавливается инвестиционной декларацией, средства компенсационного фонда вложены в: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br/>
        <w:t>1) денежные средства, в том числе размещенные на счетах и вкладах (банки с долей государственного участия 50% и более, при условии, что банк является участником системы страховых вкладов).</w:t>
      </w: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br/>
        <w:t>2) государственные ценные бумаги Российской Федерации</w:t>
      </w:r>
    </w:p>
    <w:p w14:paraId="1F2820CA" w14:textId="7EEE1AAE" w:rsidR="00BF2922" w:rsidRDefault="00BF2922" w:rsidP="00BF2922">
      <w:pPr>
        <w:shd w:val="clear" w:color="auto" w:fill="FFFFFF"/>
        <w:jc w:val="both"/>
        <w:rPr>
          <w:rFonts w:ascii="Verdana" w:hAnsi="Verdana"/>
          <w:b/>
          <w:bCs/>
          <w:sz w:val="17"/>
          <w:szCs w:val="17"/>
        </w:rPr>
      </w:pPr>
      <w:r w:rsidRPr="00BF2922">
        <w:rPr>
          <w:rFonts w:ascii="Verdana" w:hAnsi="Verdana"/>
          <w:b/>
          <w:bCs/>
          <w:sz w:val="17"/>
          <w:szCs w:val="17"/>
        </w:rPr>
        <w:t>Размер рыночной стоимости чистых активов компенсационного фонда НП СРО «ДСО» по состоянию на 30.09.2024</w:t>
      </w:r>
      <w:r w:rsidR="008A3E3C">
        <w:rPr>
          <w:rFonts w:ascii="Verdana" w:hAnsi="Verdana"/>
          <w:b/>
          <w:bCs/>
          <w:sz w:val="17"/>
          <w:szCs w:val="17"/>
        </w:rPr>
        <w:t> </w:t>
      </w:r>
      <w:r w:rsidRPr="00BF2922">
        <w:rPr>
          <w:rFonts w:ascii="Verdana" w:hAnsi="Verdana"/>
          <w:b/>
          <w:bCs/>
          <w:sz w:val="17"/>
          <w:szCs w:val="17"/>
        </w:rPr>
        <w:t>г. составляет 65 790 699 (Шестьдесят пять миллионов семьсот девяносто тысяч шестьсот девяносто девять) рублей  80 копеек.</w:t>
      </w:r>
    </w:p>
    <w:p w14:paraId="0F8291B4" w14:textId="0E31424C" w:rsidR="00BE294F" w:rsidRDefault="00BE294F" w:rsidP="00BF2922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14:paraId="5133BC29" w14:textId="77777777" w:rsidR="00BF2922" w:rsidRPr="00BF2922" w:rsidRDefault="00BF2922" w:rsidP="00BF2922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BF2922">
        <w:rPr>
          <w:rFonts w:ascii="Verdana" w:hAnsi="Verdana"/>
          <w:color w:val="000000"/>
          <w:sz w:val="17"/>
          <w:szCs w:val="17"/>
        </w:rPr>
        <w:lastRenderedPageBreak/>
        <w:t>Основание:</w:t>
      </w:r>
    </w:p>
    <w:p w14:paraId="48C65D04" w14:textId="77777777" w:rsidR="00BF2922" w:rsidRPr="00BF2922" w:rsidRDefault="00BF2922" w:rsidP="00BF2922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BF2922">
        <w:rPr>
          <w:rFonts w:ascii="Verdana" w:hAnsi="Verdana"/>
          <w:color w:val="000000"/>
          <w:sz w:val="17"/>
          <w:szCs w:val="17"/>
        </w:rPr>
        <w:t>1. Справка ООО "Управляющая компания ВЕЛЕС Менеджмент" Д.У.  № СРО/874 от 02.10.2024 г. </w:t>
      </w:r>
    </w:p>
    <w:p w14:paraId="3A2002D3" w14:textId="77777777" w:rsidR="00BF2922" w:rsidRPr="00BF2922" w:rsidRDefault="00BF2922" w:rsidP="00BF2922">
      <w:pPr>
        <w:pStyle w:val="a5"/>
        <w:shd w:val="clear" w:color="auto" w:fill="FFFFFF"/>
        <w:spacing w:before="0" w:beforeAutospacing="0" w:after="255" w:afterAutospacing="0" w:line="255" w:lineRule="atLeast"/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</w:pPr>
      <w:r w:rsidRPr="00BF2922">
        <w:rPr>
          <w:rFonts w:ascii="Verdana" w:eastAsiaTheme="minorHAnsi" w:hAnsi="Verdana" w:cstheme="minorBidi"/>
          <w:color w:val="000000"/>
          <w:sz w:val="17"/>
          <w:szCs w:val="17"/>
          <w:lang w:eastAsia="en-US"/>
        </w:rPr>
        <w:t>Информация о фактах осуществления выплат из компенсационного фонда</w:t>
      </w:r>
    </w:p>
    <w:p w14:paraId="79191C16" w14:textId="77777777" w:rsidR="00BF2922" w:rsidRPr="00BF2922" w:rsidRDefault="00BF2922" w:rsidP="00BF2922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 w:rsidRPr="00BF2922">
        <w:rPr>
          <w:rFonts w:ascii="Verdana" w:hAnsi="Verdana"/>
          <w:color w:val="000000"/>
          <w:sz w:val="17"/>
          <w:szCs w:val="17"/>
        </w:rPr>
        <w:t>В настоящее время отсутствуют факты обращения взысканий в компенсационный фонд НП СРО «ДСО».</w:t>
      </w:r>
    </w:p>
    <w:p w14:paraId="62B68C29" w14:textId="77777777" w:rsidR="00D67415" w:rsidRDefault="00D67415" w:rsidP="00D67415">
      <w:pPr>
        <w:pStyle w:val="3"/>
        <w:spacing w:before="0" w:beforeAutospacing="0" w:after="105" w:afterAutospacing="0"/>
        <w:jc w:val="both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Информация о выборе управляющей компании</w:t>
      </w:r>
    </w:p>
    <w:p w14:paraId="102BF363" w14:textId="77777777" w:rsidR="00D67415" w:rsidRDefault="00BE294F" w:rsidP="00D67415">
      <w:pPr>
        <w:pStyle w:val="a5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  <w:hyperlink r:id="rId5" w:history="1">
        <w:r w:rsidR="00D67415">
          <w:rPr>
            <w:rStyle w:val="a3"/>
            <w:rFonts w:ascii="Verdana" w:hAnsi="Verdana"/>
            <w:sz w:val="17"/>
            <w:szCs w:val="17"/>
          </w:rPr>
          <w:t>Протокол об оценке за</w:t>
        </w:r>
        <w:r w:rsidR="00D67415">
          <w:rPr>
            <w:rStyle w:val="a3"/>
            <w:rFonts w:ascii="Verdana" w:hAnsi="Verdana"/>
            <w:sz w:val="17"/>
            <w:szCs w:val="17"/>
          </w:rPr>
          <w:t>я</w:t>
        </w:r>
        <w:r w:rsidR="00D67415">
          <w:rPr>
            <w:rStyle w:val="a3"/>
            <w:rFonts w:ascii="Verdana" w:hAnsi="Verdana"/>
            <w:sz w:val="17"/>
            <w:szCs w:val="17"/>
          </w:rPr>
          <w:t>вок</w:t>
        </w:r>
      </w:hyperlink>
      <w:r w:rsidR="00D67415">
        <w:rPr>
          <w:rFonts w:ascii="Verdana" w:hAnsi="Verdana"/>
          <w:color w:val="000000"/>
          <w:sz w:val="17"/>
          <w:szCs w:val="17"/>
        </w:rPr>
        <w:t> </w:t>
      </w:r>
    </w:p>
    <w:p w14:paraId="0124E56D" w14:textId="77777777" w:rsidR="009D39C9" w:rsidRDefault="009D39C9" w:rsidP="005904D7">
      <w:pPr>
        <w:pStyle w:val="a5"/>
        <w:spacing w:before="0" w:beforeAutospacing="0" w:after="0" w:afterAutospacing="0"/>
        <w:rPr>
          <w:rFonts w:ascii="Verdana" w:hAnsi="Verdana"/>
          <w:color w:val="000000"/>
          <w:sz w:val="17"/>
          <w:szCs w:val="17"/>
        </w:rPr>
      </w:pPr>
    </w:p>
    <w:sectPr w:rsidR="009D39C9" w:rsidSect="00DD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6D3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05E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0FC3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6D3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302D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64EDF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6FB5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04D7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6226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16FE"/>
    <w:rsid w:val="008542A4"/>
    <w:rsid w:val="00855E95"/>
    <w:rsid w:val="0085601E"/>
    <w:rsid w:val="0085612C"/>
    <w:rsid w:val="00857BBF"/>
    <w:rsid w:val="00860BFA"/>
    <w:rsid w:val="0086143F"/>
    <w:rsid w:val="008626D1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3E3C"/>
    <w:rsid w:val="008A4772"/>
    <w:rsid w:val="008A4DF3"/>
    <w:rsid w:val="008B1027"/>
    <w:rsid w:val="008B187D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1141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D39C9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332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B5557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E294F"/>
    <w:rsid w:val="00BF2922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67415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16A0"/>
    <w:rsid w:val="00DD5796"/>
    <w:rsid w:val="00DD6A80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48CF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60EF"/>
    <w:rsid w:val="00E506F7"/>
    <w:rsid w:val="00E520A4"/>
    <w:rsid w:val="00E55316"/>
    <w:rsid w:val="00E55910"/>
    <w:rsid w:val="00E603BF"/>
    <w:rsid w:val="00E611D7"/>
    <w:rsid w:val="00E63422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3FC"/>
  <w15:docId w15:val="{E69BFFEB-EC84-4108-B710-A476EB5D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A80"/>
  </w:style>
  <w:style w:type="paragraph" w:styleId="3">
    <w:name w:val="heading 3"/>
    <w:basedOn w:val="a"/>
    <w:link w:val="30"/>
    <w:uiPriority w:val="9"/>
    <w:qFormat/>
    <w:rsid w:val="004F6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6F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6FB5"/>
  </w:style>
  <w:style w:type="character" w:styleId="a4">
    <w:name w:val="Strong"/>
    <w:basedOn w:val="a0"/>
    <w:uiPriority w:val="22"/>
    <w:qFormat/>
    <w:rsid w:val="004F6FB5"/>
    <w:rPr>
      <w:b/>
      <w:bCs/>
    </w:rPr>
  </w:style>
  <w:style w:type="paragraph" w:styleId="a5">
    <w:name w:val="Normal (Web)"/>
    <w:basedOn w:val="a"/>
    <w:uiPriority w:val="99"/>
    <w:unhideWhenUsed/>
    <w:rsid w:val="008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30FC3"/>
    <w:rPr>
      <w:i/>
      <w:iCs/>
    </w:rPr>
  </w:style>
  <w:style w:type="character" w:customStyle="1" w:styleId="wmi-callto">
    <w:name w:val="wmi-callto"/>
    <w:basedOn w:val="a0"/>
    <w:rsid w:val="00BF2922"/>
  </w:style>
  <w:style w:type="character" w:customStyle="1" w:styleId="addresswidgetwrapper-yuh2">
    <w:name w:val="addresswidget_wrapper_-yuh2"/>
    <w:basedOn w:val="a0"/>
    <w:rsid w:val="00BF2922"/>
  </w:style>
  <w:style w:type="character" w:styleId="a7">
    <w:name w:val="FollowedHyperlink"/>
    <w:basedOn w:val="a0"/>
    <w:uiPriority w:val="99"/>
    <w:semiHidden/>
    <w:unhideWhenUsed/>
    <w:rsid w:val="00BF29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2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8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odso.ru/files/750.aspx" TargetMode="External"/><Relationship Id="rId4" Type="http://schemas.openxmlformats.org/officeDocument/2006/relationships/hyperlink" Target="https://srodso.ru/files/5923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18</cp:revision>
  <dcterms:created xsi:type="dcterms:W3CDTF">2016-07-08T14:29:00Z</dcterms:created>
  <dcterms:modified xsi:type="dcterms:W3CDTF">2024-11-03T12:04:00Z</dcterms:modified>
</cp:coreProperties>
</file>